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叶国强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1964 年 11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1988-7-01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普通外科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1988年7月毕业于同济医科大学医疗专业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普通外科 副主任医师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2001-04-01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湖北省人事厅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普通外科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普通外科副主任医师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31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普通外科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主任医师 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86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普通外科（临床）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66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1988-07~1994-04 湖北省广水市第一人民医院         住院医师</w:t>
            </w:r>
            <w:r>
              <w:br/>
            </w:r>
            <w:r>
              <w:t xml:space="preserve">1994-04~2001-04  湖北省广水市第一人民医院 主治医师</w:t>
            </w:r>
            <w:r>
              <w:br/>
            </w:r>
            <w:r>
              <w:t xml:space="preserve">2001-04~2003-05 湖北省广水市第一人民医院 副主任医师 主任</w:t>
            </w:r>
            <w:r>
              <w:br/>
            </w:r>
            <w:r>
              <w:t xml:space="preserve">2003-05~2010-06 广东省中西医结合医院沙头分院   副主任医师 主任</w:t>
            </w:r>
            <w:r>
              <w:br/>
            </w:r>
            <w:r>
              <w:t xml:space="preserve">2010-06~2019-09 广东省惠州市第六人民医院      副主任医师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1、2、3、4、5         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(一) （二）3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专业技术工作经历(能力)条件</w:t>
            </w:r>
            <w:r>
              <w:br/>
            </w:r>
            <w:r>
              <w:t xml:space="preserve">1、担任普通外科专业副主任医师工作期间，平均每年从事专业技术工作35周以上，每周进行专科查房二次。</w:t>
            </w:r>
            <w:r>
              <w:br/>
            </w:r>
            <w:r>
              <w:t xml:space="preserve">2、具有普通外科专业临床工作的深厚、扎实的专业理论基础，具有全面承担、指导本专业各项业务工作的能力，而且在普通外科专业范围内有自己的专长和特长，如甲乳外科、肝胆胃肠疝外科等。能独立完成并指导下级医师完成普通外科大型、复杂、疑难手术；具有丰富的临床经验、广博的学识和很强的应变能力；能独立完成较困难的院外会诊。</w:t>
            </w:r>
            <w:r>
              <w:br/>
            </w:r>
            <w:r>
              <w:t xml:space="preserve">3、担任副主任医师工作期间，具有培养本专业中、高级专门人才的能力；有良好的教学组织和领导能力；每年为下级医师讲授专题课至少3次。</w:t>
            </w:r>
            <w:r>
              <w:br/>
            </w:r>
            <w:r>
              <w:t xml:space="preserve">4、根据专业发展需要，确定并主持本专业重要科研项目研究，引进新技术新项目一项应用于临床实践。</w:t>
            </w:r>
            <w:r>
              <w:br/>
            </w:r>
            <w:r>
              <w:t xml:space="preserve">业绩成果条件</w:t>
            </w:r>
            <w:r>
              <w:br/>
            </w:r>
            <w:r>
              <w:t xml:space="preserve">  具有跟踪本专业先进水平及独立承担科研工作能力；根据本专业发展提出课题，并有课题设计、组织和总结的能力，担任副主任医师以来，有4篇第一作者的论文。惠州市立项科研课题负责人，课题执行情况良好，取得阶段性成果。2012年7月至2014年7月，以第一负责人负责惠州市科技立项1项:《术后饮加芒硝外敷治疗术后早期炎性肠梗阻疗效观察》(编号:2013Y197）,已经结题，取得了阶段性成果，论文《术后饮加芒硝外敷治疗术后早期炎性肠梗阻临床疗效的观察》发表在《现代中西医结合杂志》第23卷第19期上，并进行阶段性总结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 患者 黄某某 女 因剖腹产术后上腹部疼痛2天再住妇产科，腹部CT考虑为急性胰腺炎，2013年4月3日，我科二值医生以"急性胰腺炎"转入我科，当时，我二值代一线接管病人，按急性胰腺炎治疗，病情逐渐加重，复查腹部增强CT示脾动脉瘤破裂出血，急行剖腹探查:脾动脉瘤、脾脏切除 腹腔引流术，术后病人转ICU，几天后因多器官衰竭死亡。教训:1、过于依赖辅助检查，对于检查没有进行深入分析。2、观察病情不够仔细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Encor 真空辅助旋切系统在乳腺肿瘤微创术中的应用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中国医药指南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1671-8194 CN 11-4856/R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2014年12月35期11卷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无张力疝修补术治疗21例老年人双侧腹股沟的临床分析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1673-7555 CN 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2015年3月35期48卷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术后饮加芒硝外敷治疗术后早期炎性肠梗阻疗效观察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现代中西医结合杂志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1008-8849 CN 13-1283/R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2014年7月19期23卷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肝脏外伤治疗168例体会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中国现代医生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1673-9701 CN 11-5603/R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2012年12月35期49卷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