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练万里</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1982 年 9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2004-6-01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儿科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2008年1月毕业于汕头大学临床医学专业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学士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业余大</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小儿内科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2013-05-26</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临床儿科</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小儿内科主治医师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15</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小儿内科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73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2007-07</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4</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小儿内科（临床）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62</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2019-04-20</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2004-07~2015-12 惠州市惠阳区妇幼保健院；儿科医师 儿科医师</w:t>
            </w:r>
            <w:r>
              <w:br/>
            </w:r>
            <w:r>
              <w:t xml:space="preserve">2016-01~2019-09 惠州市第六人民医院；儿科主治医师 儿科主治医师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本人最高学历：本科，学士学位，2008年毕业于汕头大学，临床医学专业。先后在惠阳区妇幼保健院和现任职医院工作，从事医学临床工作15年，每年从事专业技术工作40周以上，每年门诊诊疗病人数多达21407-22388人次，2016年至2019年每年接诊门诊人数都在全院排名第二，而且还没有被有效投诉过，每年抢救病人多达100余例，抢救成功率高，获得患者和同行们的一致好评。本人最求学无止境，于2012年1月至2012年7月在广东省妇幼保健院进修半年，主要是学习儿科、新生儿科，学习大医院的先进技术及管理方法，积累了丰富的临床抢救经验和抢救技能，使儿童危急重症的救治成功率高。</w:t>
            </w:r>
            <w:r>
              <w:br/>
            </w:r>
            <w:r>
              <w:t xml:space="preserve">  2017年申报惠州市科研立项课题《儿童反复哮喘发作与其贫血、血液流变学及生长发育相关性研究》（项目编号：2017Y217），于2019年8月通过了专家组的考核评价，圆满结题。该研究得到临床及患者的认可。</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血清降钙素原及超敏C反应蛋白检测在手足口病并发细菌感染诊断中的应用价值</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中国民康医学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ISSN1672-0369 CN 11-4917/R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2019年6月11期31卷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儿童反复哮喘发作与贫血、血液流变学相关性研究</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中国实用医药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ISSN1673-7555 CN11-5547/R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2018年8月24期13卷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孟鲁司特联合糖皮质激素治疗小儿咳嗽变异性哮喘的疗效及安全性研究</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吉林医学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ISSN1004-0412 CN22-1115/R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2017年3月3期28卷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