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张文广</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1983 年 10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2008-7-01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骨科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2008年7月毕业于广东医科大学（广东医学院）临床医学专业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骨外科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2014-05-25</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骨科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骨外科主治医师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11</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骨外科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89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骨外科（临床）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60</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2018-04-14</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2008-07~2018-08 惠州市第六人民医院从事临床工作。 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本人在取得中级职称前对骨外科基层常见疾病诊治已熟练掌握。取得中级职称后在中山大学附属第一医院骨显微医学部显微外科进修结业，对骨外科中创伤，关节，骨病的诊治水平得到大幅提高。在任现职期间，遵守医院各项规章制度，工作积极、认真，任劳任怨，经常参与急、危重症病人的抢救及手术治疗，圆满完成上级医师分配任务。每年从事专业技术工作50周，独立承担专科查房工作，每年进行专科查房150次以上；有丰富的临床实践经验，能独立解决本专业复杂疑难的技术问题，完成疑难危重的院内外会诊和抢救工作。能独立完成四肢骨折、关节手术，神经、肌腱、血管手术，完成各种皮瓣、骨瓣、神经、血管移植手术，完成各种复杂的断肢再植术，能完成各项创伤骨科，关节，骨病，手足显微等专科手术。本人近年来总结发表国家级三篇篇，2017年、2018年被评为我院“优秀青年”、 “十佳优秀青年医师”。</w:t>
            </w:r>
            <w:r>
              <w:br/>
            </w:r>
            <w:r>
              <w:t xml:space="preserve">2015年7月作为项目第二负责人《CT重建评估空心加压螺钉及可吸收材料治疗距骨骨折的临床应用》获惠州市科技局科技计划项目立项。该项目进展顺利，2016年9月在《医药卫生》杂志发表《空心加压螺钉及可吸收材料在足部骨折的临床应用》文章。2018年2月在《黑龙江医药》发表“不同手术方式治疗复杂距骨骨折的疗效比较”；2019年5月课题组在《创伤外科杂志》发表“空心加压螺钉联合可吸收材料治疗距骨骨折的临床疗效分析”。经专家组评议，该项目于2017年12月获惠州市科技局结题验收。该项目方法减少了距骨骨折术后缺血坏死、创伤性关节炎的情况，实用性强，值得推广。</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微型锁定钢板与克氏针治疗小儿尺桡骨骨折的效果比较</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现代诊断与治疗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CN：36-1160/R 
</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2018年2月总第255期第29卷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不同手术方式治疗复杂距骨骨折的疗效比较</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黑龙江医药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CN：23-1383/R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2018年2月第2期第31卷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空心加压螺钉及可吸收材料在足部骨折的临床应用</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医药卫生</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CN：50-9205/R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2017年9月第9期第2卷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