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惠州市第六人民医院</w:t>
      </w:r>
    </w:p>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院内招标文件</w:t>
      </w:r>
    </w:p>
    <w:p>
      <w:pPr>
        <w:jc w:val="center"/>
        <w:rPr>
          <w:rFonts w:ascii="方正小标宋_GBK" w:hAnsi="方正小标宋_GBK" w:eastAsia="方正小标宋_GBK" w:cs="方正小标宋_GBK"/>
          <w:sz w:val="44"/>
          <w:szCs w:val="44"/>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sz w:val="32"/>
          <w:szCs w:val="32"/>
        </w:rPr>
        <w:t>文件编号：</w:t>
      </w:r>
      <w:r>
        <w:rPr>
          <w:rFonts w:hint="eastAsia" w:ascii="方正黑体_GBK" w:hAnsi="方正黑体_GBK" w:eastAsia="方正黑体_GBK" w:cs="方正黑体_GBK"/>
          <w:color w:val="333333"/>
          <w:sz w:val="32"/>
          <w:szCs w:val="32"/>
        </w:rPr>
        <w:t>H6-XXB-2021-010</w:t>
      </w: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 xml:space="preserve">      采购项目：智慧图书馆系统建设项目</w:t>
      </w: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采购项目办公室：信息部</w:t>
      </w: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2021年12月24日</w:t>
      </w: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rPr>
          <w:rFonts w:ascii="方正仿宋_GBK" w:hAnsi="方正仿宋_GBK" w:eastAsia="方正仿宋_GBK" w:cs="方正仿宋_GBK"/>
          <w:color w:val="333333"/>
          <w:sz w:val="32"/>
          <w:szCs w:val="32"/>
        </w:rPr>
      </w:pPr>
    </w:p>
    <w:p>
      <w:pPr>
        <w:pageBreakBefore/>
        <w:jc w:val="center"/>
        <w:rPr>
          <w:rFonts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
      <w:pPr>
        <w:pStyle w:val="3"/>
        <w:rPr>
          <w:rFonts w:hint="default"/>
        </w:rPr>
      </w:pPr>
    </w:p>
    <w:p>
      <w:pPr>
        <w:pStyle w:val="10"/>
        <w:tabs>
          <w:tab w:val="right" w:leader="dot" w:pos="9174"/>
        </w:tabs>
        <w:spacing w:line="360" w:lineRule="auto"/>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ascii="方正黑体_GBK" w:hAnsi="方正黑体_GBK" w:eastAsia="方正黑体_GBK" w:cs="方正黑体_GBK"/>
          <w:b/>
          <w:bCs/>
          <w:sz w:val="44"/>
          <w:szCs w:val="44"/>
        </w:rPr>
      </w:pPr>
    </w:p>
    <w:p>
      <w:pPr>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ascii="方正黑体_GBK" w:hAnsi="方正黑体_GBK" w:eastAsia="方正黑体_GBK" w:cs="方正黑体_GBK"/>
          <w:b/>
          <w:bCs/>
          <w:sz w:val="44"/>
          <w:szCs w:val="44"/>
        </w:rPr>
      </w:pPr>
    </w:p>
    <w:p>
      <w:pPr>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ascii="方正黑体_GBK" w:hAnsi="方正黑体_GBK" w:eastAsia="方正黑体_GBK" w:cs="方正黑体_GBK"/>
          <w:b/>
          <w:bCs/>
          <w:sz w:val="44"/>
          <w:szCs w:val="44"/>
        </w:rPr>
      </w:pPr>
    </w:p>
    <w:p>
      <w:pPr>
        <w:jc w:val="center"/>
        <w:rPr>
          <w:rFonts w:ascii="方正仿宋_GBK" w:hAnsi="方正仿宋_GBK" w:eastAsia="方正仿宋_GBK" w:cs="方正仿宋_GBK"/>
          <w:color w:val="333333"/>
          <w:sz w:val="32"/>
          <w:szCs w:val="32"/>
        </w:rPr>
      </w:pPr>
    </w:p>
    <w:p>
      <w:pPr>
        <w:pStyle w:val="2"/>
        <w:numPr>
          <w:ilvl w:val="0"/>
          <w:numId w:val="0"/>
        </w:numPr>
        <w:rPr>
          <w:rFonts w:ascii="方正仿宋_GBK" w:hAnsi="方正仿宋_GBK" w:eastAsia="方正仿宋_GBK" w:cs="方正仿宋_GBK"/>
          <w:color w:val="333333"/>
          <w:sz w:val="32"/>
          <w:szCs w:val="32"/>
        </w:rPr>
      </w:pPr>
    </w:p>
    <w:p>
      <w:pPr>
        <w:rPr>
          <w:rFonts w:ascii="方正仿宋_GBK" w:hAnsi="方正仿宋_GBK" w:eastAsia="方正仿宋_GBK" w:cs="方正仿宋_GBK"/>
          <w:color w:val="333333"/>
          <w:sz w:val="32"/>
          <w:szCs w:val="32"/>
        </w:rPr>
      </w:pPr>
    </w:p>
    <w:p>
      <w:pPr>
        <w:pStyle w:val="3"/>
        <w:rPr>
          <w:rFonts w:hint="default" w:ascii="方正仿宋_GBK" w:hAnsi="方正仿宋_GBK" w:eastAsia="方正仿宋_GBK" w:cs="方正仿宋_GBK"/>
          <w:b w:val="0"/>
          <w:color w:val="333333"/>
          <w:sz w:val="32"/>
          <w:szCs w:val="32"/>
        </w:rPr>
      </w:pPr>
    </w:p>
    <w:p>
      <w:pPr>
        <w:rPr>
          <w:rFonts w:ascii="方正仿宋_GBK" w:hAnsi="方正仿宋_GBK" w:eastAsia="方正仿宋_GBK" w:cs="方正仿宋_GBK"/>
          <w:color w:val="333333"/>
          <w:sz w:val="32"/>
          <w:szCs w:val="32"/>
        </w:rPr>
      </w:pPr>
    </w:p>
    <w:p/>
    <w:p>
      <w:pPr>
        <w:pStyle w:val="2"/>
        <w:numPr>
          <w:ilvl w:val="0"/>
          <w:numId w:val="0"/>
        </w:numPr>
      </w:pPr>
    </w:p>
    <w:p>
      <w:pPr>
        <w:spacing w:line="360" w:lineRule="auto"/>
        <w:jc w:val="center"/>
        <w:outlineLvl w:val="0"/>
        <w:rPr>
          <w:rFonts w:ascii="方正黑体_GBK" w:hAnsi="方正黑体_GBK" w:eastAsia="方正黑体_GBK" w:cs="方正黑体_GBK"/>
          <w:bCs/>
          <w:sz w:val="44"/>
          <w:szCs w:val="44"/>
        </w:rPr>
      </w:pPr>
      <w:r>
        <w:rPr>
          <w:rFonts w:hint="eastAsia" w:ascii="方正黑体_GBK" w:hAnsi="方正黑体_GBK" w:eastAsia="方正黑体_GBK" w:cs="方正黑体_GBK"/>
          <w:bCs/>
          <w:sz w:val="44"/>
          <w:szCs w:val="44"/>
        </w:rPr>
        <w:t>第一部分 投标邀请函</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pPr>
        <w:spacing w:line="58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333333"/>
          <w:sz w:val="32"/>
          <w:szCs w:val="32"/>
        </w:rPr>
        <w:t>惠州市第六人民医院因业务发展的需要，计划对</w:t>
      </w:r>
      <w:r>
        <w:rPr>
          <w:rFonts w:hint="eastAsia" w:ascii="方正仿宋_GBK" w:hAnsi="方正仿宋_GBK" w:eastAsia="方正仿宋_GBK" w:cs="方正仿宋_GBK"/>
          <w:kern w:val="2"/>
          <w:sz w:val="32"/>
          <w:szCs w:val="32"/>
        </w:rPr>
        <w:t>智慧图书馆系统建设项目</w:t>
      </w:r>
      <w:r>
        <w:rPr>
          <w:rFonts w:hint="eastAsia" w:ascii="方正仿宋_GBK" w:hAnsi="方正仿宋_GBK" w:eastAsia="方正仿宋_GBK" w:cs="方正仿宋_GBK"/>
          <w:color w:val="333333"/>
          <w:sz w:val="32"/>
          <w:szCs w:val="32"/>
        </w:rPr>
        <w:t>进行院内招标采购，欢迎符合资格条件的供应商报名投标。</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color w:val="333333"/>
          <w:sz w:val="32"/>
          <w:szCs w:val="32"/>
        </w:rPr>
        <w:t>H6-XXB-2021-008</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kern w:val="2"/>
          <w:sz w:val="32"/>
          <w:szCs w:val="32"/>
        </w:rPr>
        <w:t>智慧图书馆系统建设项目</w:t>
      </w:r>
    </w:p>
    <w:tbl>
      <w:tblPr>
        <w:tblStyle w:val="13"/>
        <w:tblpPr w:leftFromText="180" w:rightFromText="180" w:vertAnchor="text" w:horzAnchor="page" w:tblpX="1425" w:tblpY="590"/>
        <w:tblOverlap w:val="never"/>
        <w:tblW w:w="4761" w:type="pct"/>
        <w:tblInd w:w="0" w:type="dxa"/>
        <w:tblLayout w:type="fixed"/>
        <w:tblCellMar>
          <w:top w:w="0" w:type="dxa"/>
          <w:left w:w="108" w:type="dxa"/>
          <w:bottom w:w="0" w:type="dxa"/>
          <w:right w:w="108" w:type="dxa"/>
        </w:tblCellMar>
      </w:tblPr>
      <w:tblGrid>
        <w:gridCol w:w="3909"/>
        <w:gridCol w:w="650"/>
        <w:gridCol w:w="1010"/>
        <w:gridCol w:w="1911"/>
        <w:gridCol w:w="1817"/>
      </w:tblGrid>
      <w:tr>
        <w:tblPrEx>
          <w:tblCellMar>
            <w:top w:w="0" w:type="dxa"/>
            <w:left w:w="108" w:type="dxa"/>
            <w:bottom w:w="0" w:type="dxa"/>
            <w:right w:w="108" w:type="dxa"/>
          </w:tblCellMar>
        </w:tblPrEx>
        <w:trPr>
          <w:trHeight w:val="1049" w:hRule="atLeast"/>
        </w:trPr>
        <w:tc>
          <w:tcPr>
            <w:tcW w:w="2101"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服务名称</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543"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tc>
        <w:tc>
          <w:tcPr>
            <w:tcW w:w="1028"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预算单价（万元）</w:t>
            </w:r>
          </w:p>
        </w:tc>
        <w:tc>
          <w:tcPr>
            <w:tcW w:w="977"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总金额</w:t>
            </w:r>
          </w:p>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w:t>
            </w:r>
          </w:p>
        </w:tc>
      </w:tr>
      <w:tr>
        <w:tblPrEx>
          <w:tblCellMar>
            <w:top w:w="0" w:type="dxa"/>
            <w:left w:w="108" w:type="dxa"/>
            <w:bottom w:w="0" w:type="dxa"/>
            <w:right w:w="108" w:type="dxa"/>
          </w:tblCellMar>
        </w:tblPrEx>
        <w:trPr>
          <w:trHeight w:val="670" w:hRule="atLeast"/>
        </w:trPr>
        <w:tc>
          <w:tcPr>
            <w:tcW w:w="2101"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智慧图书馆系统建设项目</w:t>
            </w:r>
          </w:p>
        </w:tc>
        <w:tc>
          <w:tcPr>
            <w:tcW w:w="349"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套</w:t>
            </w:r>
          </w:p>
        </w:tc>
        <w:tc>
          <w:tcPr>
            <w:tcW w:w="10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19.8</w:t>
            </w:r>
          </w:p>
        </w:tc>
        <w:tc>
          <w:tcPr>
            <w:tcW w:w="9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19.8</w:t>
            </w:r>
          </w:p>
        </w:tc>
      </w:tr>
    </w:tbl>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采购预算：</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拟参加谈判的供应商应当在2021年12月24日起至2021年 12月28日（上午08:00-12:00，下午14:30-17:30，）到</w:t>
      </w:r>
      <w:r>
        <w:rPr>
          <w:rFonts w:hint="eastAsia" w:ascii="方正仿宋_GBK" w:hAnsi="方正仿宋_GBK" w:eastAsia="方正仿宋_GBK" w:cs="方正仿宋_GBK"/>
          <w:sz w:val="32"/>
          <w:szCs w:val="32"/>
          <w:lang w:val="zh-CN"/>
        </w:rPr>
        <w:t>惠州市第六人民医院信息部报名，</w:t>
      </w:r>
      <w:r>
        <w:rPr>
          <w:rFonts w:hint="eastAsia" w:ascii="方正仿宋_GBK" w:hAnsi="方正仿宋_GBK" w:eastAsia="方正仿宋_GBK" w:cs="方正仿宋_GBK"/>
          <w:sz w:val="32"/>
          <w:szCs w:val="32"/>
        </w:rPr>
        <w:t>招标文件请自行在挂网招标公告中下载附件。</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谈判响应文件递交截止时间：2021年 12月29日17时（北京时间）</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投标文件送达地点：惠州市惠阳区爱民东路2号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rPr>
        <w:t>新住院大楼（6号楼）一楼信息部办公室。</w:t>
      </w:r>
      <w:r>
        <w:rPr>
          <w:rFonts w:hint="eastAsia" w:ascii="方正仿宋_GBK" w:hAnsi="方正仿宋_GBK" w:eastAsia="方正仿宋_GBK" w:cs="方正仿宋_GBK"/>
          <w:sz w:val="32"/>
          <w:szCs w:val="32"/>
        </w:rPr>
        <w:t xml:space="preserve">      </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开标时间：2021年12月30日</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开标地点：惠州市惠阳区爱民东路2号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rPr>
        <w:t>新住院大楼（6号楼）一楼信息部办公室。</w:t>
      </w:r>
      <w:r>
        <w:rPr>
          <w:rFonts w:hint="eastAsia" w:ascii="方正仿宋_GBK" w:hAnsi="方正仿宋_GBK" w:eastAsia="方正仿宋_GBK" w:cs="方正仿宋_GBK"/>
          <w:sz w:val="32"/>
          <w:szCs w:val="32"/>
        </w:rPr>
        <w:t xml:space="preserve">         </w:t>
      </w:r>
    </w:p>
    <w:p>
      <w:pPr>
        <w:spacing w:line="580" w:lineRule="exact"/>
        <w:rPr>
          <w:rFonts w:ascii="方正仿宋_GBK" w:hAnsi="方正仿宋_GBK" w:eastAsia="方正仿宋_GBK" w:cs="方正仿宋_GBK"/>
          <w:sz w:val="32"/>
          <w:szCs w:val="32"/>
        </w:rPr>
      </w:pPr>
    </w:p>
    <w:p>
      <w:pPr>
        <w:spacing w:line="580" w:lineRule="exact"/>
        <w:rPr>
          <w:rFonts w:ascii="方正仿宋_GBK" w:hAnsi="方正仿宋_GBK" w:eastAsia="方正仿宋_GBK" w:cs="方正仿宋_GBK"/>
          <w:sz w:val="32"/>
          <w:szCs w:val="32"/>
        </w:rPr>
      </w:pPr>
    </w:p>
    <w:p>
      <w:pPr>
        <w:pStyle w:val="2"/>
        <w:numPr>
          <w:ilvl w:val="0"/>
          <w:numId w:val="0"/>
        </w:numPr>
      </w:pPr>
    </w:p>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招标人：惠州市第六人民医院</w:t>
      </w:r>
    </w:p>
    <w:p>
      <w:pPr>
        <w:pStyle w:val="3"/>
        <w:spacing w:line="580" w:lineRule="exact"/>
        <w:ind w:firstLine="640" w:firstLineChars="200"/>
        <w:rPr>
          <w:rFonts w:hint="default" w:eastAsia="方正仿宋_GBK"/>
          <w:b w:val="0"/>
          <w:sz w:val="32"/>
          <w:szCs w:val="32"/>
        </w:rPr>
      </w:pPr>
      <w:r>
        <w:rPr>
          <w:rFonts w:ascii="方正仿宋_GBK" w:hAnsi="方正仿宋_GBK" w:eastAsia="方正仿宋_GBK" w:cs="方正仿宋_GBK"/>
          <w:b w:val="0"/>
          <w:sz w:val="32"/>
          <w:szCs w:val="32"/>
        </w:rPr>
        <w:t>招标人联系人：莫谋森</w:t>
      </w:r>
    </w:p>
    <w:p>
      <w:pPr>
        <w:spacing w:line="580" w:lineRule="exact"/>
        <w:ind w:firstLine="640" w:firstLineChars="200"/>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color w:val="333333"/>
          <w:sz w:val="32"/>
          <w:szCs w:val="32"/>
        </w:rPr>
        <w:t>0752-6518960</w:t>
      </w:r>
    </w:p>
    <w:p>
      <w:pPr>
        <w:pStyle w:val="3"/>
        <w:spacing w:line="580" w:lineRule="exact"/>
        <w:ind w:firstLine="640" w:firstLineChars="200"/>
        <w:rPr>
          <w:rFonts w:hint="default"/>
          <w:b w:val="0"/>
          <w:sz w:val="32"/>
          <w:szCs w:val="32"/>
        </w:rPr>
      </w:pPr>
      <w:r>
        <w:rPr>
          <w:rFonts w:ascii="方正仿宋_GBK" w:hAnsi="方正仿宋_GBK" w:eastAsia="方正仿宋_GBK" w:cs="方正仿宋_GBK"/>
          <w:b w:val="0"/>
          <w:color w:val="333333"/>
          <w:sz w:val="32"/>
          <w:szCs w:val="32"/>
        </w:rPr>
        <w:t>传真：0752-6518960</w:t>
      </w:r>
    </w:p>
    <w:p>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联系地址：惠州市惠阳区淡水街道爱民东路</w:t>
      </w:r>
      <w:r>
        <w:rPr>
          <w:rFonts w:hint="eastAsia" w:ascii="方正仿宋_GBK" w:hAnsi="方正仿宋_GBK" w:eastAsia="方正仿宋_GBK" w:cs="方正仿宋_GBK"/>
          <w:sz w:val="32"/>
          <w:szCs w:val="32"/>
        </w:rPr>
        <w:t>2号</w:t>
      </w:r>
      <w:r>
        <w:rPr>
          <w:rFonts w:hint="eastAsia" w:ascii="方正仿宋_GBK" w:hAnsi="方正仿宋_GBK" w:eastAsia="方正仿宋_GBK" w:cs="方正仿宋_GBK"/>
          <w:sz w:val="32"/>
          <w:szCs w:val="32"/>
          <w:lang w:val="zh-CN"/>
        </w:rPr>
        <w:t xml:space="preserve"> </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邮编：</w:t>
      </w:r>
      <w:r>
        <w:rPr>
          <w:rFonts w:hint="eastAsia" w:ascii="方正仿宋_GBK" w:hAnsi="方正仿宋_GBK" w:eastAsia="方正仿宋_GBK" w:cs="方正仿宋_GBK"/>
          <w:sz w:val="32"/>
          <w:szCs w:val="32"/>
        </w:rPr>
        <w:t>516200</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rPr>
        <w:t xml:space="preserve">         </w:t>
      </w:r>
    </w:p>
    <w:p>
      <w:pPr>
        <w:spacing w:line="360" w:lineRule="auto"/>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default"/>
          <w:lang w:val="zh-CN"/>
        </w:rPr>
      </w:pPr>
    </w:p>
    <w:p>
      <w:pPr>
        <w:spacing w:line="580" w:lineRule="exact"/>
        <w:ind w:firstLine="4960" w:firstLineChars="155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惠州市第六人民医院</w:t>
      </w:r>
    </w:p>
    <w:p>
      <w:pPr>
        <w:spacing w:line="580" w:lineRule="exact"/>
        <w:ind w:firstLine="6080" w:firstLineChars="19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2021年12月24日</w:t>
      </w:r>
    </w:p>
    <w:p>
      <w:pPr>
        <w:pStyle w:val="3"/>
        <w:rPr>
          <w:rFonts w:hint="default"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pStyle w:val="3"/>
        <w:rPr>
          <w:rFonts w:hint="default"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pStyle w:val="3"/>
        <w:rPr>
          <w:rFonts w:hint="default"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
      <w:pPr>
        <w:rPr>
          <w:rFonts w:eastAsia="方正仿宋_GBK"/>
        </w:rPr>
      </w:pPr>
    </w:p>
    <w:p>
      <w:pPr>
        <w:rPr>
          <w:rFonts w:ascii="仿宋" w:hAnsi="仿宋" w:eastAsia="仿宋" w:cs="仿宋"/>
          <w:sz w:val="24"/>
        </w:rPr>
      </w:pPr>
    </w:p>
    <w:p>
      <w:pPr>
        <w:numPr>
          <w:ilvl w:val="0"/>
          <w:numId w:val="4"/>
        </w:numPr>
        <w:jc w:val="center"/>
        <w:outlineLvl w:val="0"/>
        <w:rPr>
          <w:rFonts w:ascii="方正粗黑宋简体" w:hAnsi="方正粗黑宋简体" w:eastAsia="方正粗黑宋简体" w:cs="方正粗黑宋简体"/>
          <w:bCs/>
          <w:sz w:val="44"/>
          <w:szCs w:val="44"/>
        </w:rPr>
      </w:pPr>
      <w:r>
        <w:rPr>
          <w:rFonts w:hint="eastAsia" w:ascii="方正粗黑宋简体" w:hAnsi="方正粗黑宋简体" w:eastAsia="方正粗黑宋简体" w:cs="方正粗黑宋简体"/>
          <w:bCs/>
          <w:sz w:val="44"/>
          <w:szCs w:val="44"/>
        </w:rPr>
        <w:t>采购项目内容</w:t>
      </w:r>
    </w:p>
    <w:p>
      <w:pPr>
        <w:numPr>
          <w:ilvl w:val="0"/>
          <w:numId w:val="5"/>
        </w:numPr>
        <w:spacing w:line="580" w:lineRule="exact"/>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投标人资格要求：</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1、在中华人民共和国境内注册的具有独立承担民事责任能力的法人或其他组织；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2、不接受联合投标体投标以及对本项目进行分包和转包；</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3、单位负责人为同一人或者存在控股、管理关系的不同单位，不得参加同一招标项目包投标（投标人出具声明函）；</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4、在“信用中国”网站（www.credichina.gov.cn）、中国政府采购网（www.ccgp.gov.cn）没有被列入失信被执行人、重大税收违法案件当事人名单、政府采购严重违法失信行为记录名单及其它不符合规定条件的供应商；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5、已报名并获取本次采购文件。</w:t>
      </w:r>
    </w:p>
    <w:p>
      <w:pPr>
        <w:pStyle w:val="3"/>
        <w:rPr>
          <w:rFonts w:hint="default"/>
          <w:sz w:val="18"/>
          <w:szCs w:val="18"/>
        </w:rPr>
      </w:pPr>
    </w:p>
    <w:p>
      <w:pPr>
        <w:numPr>
          <w:ilvl w:val="0"/>
          <w:numId w:val="5"/>
        </w:numPr>
        <w:outlineLvl w:val="1"/>
        <w:rPr>
          <w:rFonts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用户需求书</w:t>
      </w:r>
      <w:r>
        <w:rPr>
          <w:rFonts w:hint="eastAsia" w:ascii="方正楷体_GBK" w:hAnsi="方正楷体_GBK" w:eastAsia="方正楷体_GBK" w:cs="方正楷体_GBK"/>
          <w:sz w:val="32"/>
          <w:szCs w:val="32"/>
        </w:rPr>
        <w:t>：</w:t>
      </w:r>
    </w:p>
    <w:p>
      <w:pPr>
        <w:pStyle w:val="1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建设背景及目标</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1、单位简介</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惠州市第六人民医院始建于1949年9月，前身是中国人民解放军粤赣湘边纵队健康医院，是惠阳及大亚湾地区规模最大的公立综合医院，承担了本地区主要的医疗、急救、预防、保健、科研与教学工作。</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2、现状情况</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互联网+时代的到来，医院图书馆传统的服务功能已远远不能满足医护人员多样化的需求。医务工作者在开展业务、教学、研究中对文献信息的需求广泛而分散，院里需要配有大量的图书、期刊、论文、视频等多种类型文献资源才能满足。</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前，我院图书馆受到诸多因素影响，无法满足医务工作者的各种要求。医院虽然有馆藏纸本资源，但大多比较陈旧，图书使用率低，无法满足医生最新的科研需要。医院有采购万方数据库，并能使用大学电子资源，但无法做到资源一体化检索，文献满足率也不乐观，使得医生学习受到了极大的限制。医院图书馆在藏量和服务都不甚乐观，无法适应医院的快速发展，无法给医教研提供动力，更无法满足三甲评审的需求。</w:t>
      </w:r>
    </w:p>
    <w:p>
      <w:pPr>
        <w:pStyle w:val="11"/>
        <w:numPr>
          <w:ilvl w:val="0"/>
          <w:numId w:val="6"/>
        </w:num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建设目标</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慧图书馆的建设可以极大的提高医院的综合文献保障能力，使院内职工可以在任何时间，任何地点，获取到自己想要的任何资源，智慧图书馆将帮助医院职工实现原文查找，原文获取，在线学习成长；帮助医院图书馆提供课题查新服务，辅助科研项目；帮助医院医生搜集学科最新相关诊疗信息，辅助临床诊疗决断。极大的提升了医院的医疗、科研、教学水平。</w:t>
      </w:r>
    </w:p>
    <w:p>
      <w:pPr>
        <w:pStyle w:val="6"/>
        <w:numPr>
          <w:ilvl w:val="3"/>
          <w:numId w:val="0"/>
        </w:numPr>
        <w:spacing w:before="156" w:after="156"/>
        <w:rPr>
          <w:rFonts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招标内容</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本次招标内容为</w:t>
      </w:r>
      <w:r>
        <w:rPr>
          <w:rFonts w:hint="eastAsia" w:ascii="方正仿宋_GBK" w:hAnsi="方正仿宋_GBK" w:eastAsia="方正仿宋_GBK" w:cs="方正仿宋_GBK"/>
          <w:kern w:val="2"/>
          <w:sz w:val="32"/>
          <w:szCs w:val="32"/>
        </w:rPr>
        <w:t>智慧图书馆系统建设项目</w:t>
      </w:r>
      <w:r>
        <w:rPr>
          <w:rFonts w:hint="eastAsia" w:ascii="方正仿宋_GBK" w:hAnsi="方正仿宋_GBK" w:eastAsia="方正仿宋_GBK" w:cs="方正仿宋_GBK"/>
          <w:sz w:val="32"/>
          <w:szCs w:val="32"/>
        </w:rPr>
        <w:t>，包括系统软、硬件的供货、安装调试、集成、开发、技术支持、运行维护、项目验收、技术培训及售后服务等。</w:t>
      </w:r>
    </w:p>
    <w:p>
      <w:pPr>
        <w:pStyle w:val="2"/>
        <w:numPr>
          <w:ilvl w:val="0"/>
          <w:numId w:val="0"/>
        </w:numPr>
      </w:pPr>
    </w:p>
    <w:p>
      <w:pPr>
        <w:rPr>
          <w:rFonts w:ascii="方正仿宋_GBK" w:hAnsi="方正仿宋_GBK" w:eastAsia="方正仿宋_GBK" w:cs="方正仿宋_GBK"/>
          <w:sz w:val="32"/>
          <w:szCs w:val="32"/>
        </w:rPr>
      </w:pPr>
    </w:p>
    <w:p>
      <w:pPr>
        <w:pStyle w:val="2"/>
        <w:numPr>
          <w:ilvl w:val="0"/>
          <w:numId w:val="0"/>
        </w:numPr>
      </w:pPr>
    </w:p>
    <w:tbl>
      <w:tblPr>
        <w:tblStyle w:val="13"/>
        <w:tblpPr w:leftFromText="180" w:rightFromText="180" w:vertAnchor="text" w:horzAnchor="page" w:tblpX="809" w:tblpY="638"/>
        <w:tblOverlap w:val="never"/>
        <w:tblW w:w="10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44"/>
        <w:gridCol w:w="3100"/>
        <w:gridCol w:w="169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18" w:type="dxa"/>
            <w:vAlign w:val="center"/>
          </w:tcPr>
          <w:p>
            <w:pPr>
              <w:pStyle w:val="16"/>
              <w:rPr>
                <w:kern w:val="2"/>
                <w:sz w:val="24"/>
                <w:szCs w:val="21"/>
              </w:rPr>
            </w:pPr>
            <w:r>
              <w:rPr>
                <w:rFonts w:hint="eastAsia"/>
                <w:kern w:val="2"/>
                <w:sz w:val="24"/>
                <w:szCs w:val="21"/>
              </w:rPr>
              <w:t>序号</w:t>
            </w:r>
          </w:p>
        </w:tc>
        <w:tc>
          <w:tcPr>
            <w:tcW w:w="2144" w:type="dxa"/>
            <w:vAlign w:val="center"/>
          </w:tcPr>
          <w:p>
            <w:pPr>
              <w:pStyle w:val="16"/>
              <w:rPr>
                <w:kern w:val="2"/>
                <w:sz w:val="24"/>
                <w:szCs w:val="21"/>
              </w:rPr>
            </w:pPr>
            <w:r>
              <w:rPr>
                <w:rFonts w:hint="eastAsia"/>
                <w:kern w:val="2"/>
                <w:sz w:val="24"/>
                <w:szCs w:val="21"/>
              </w:rPr>
              <w:t>货物名称</w:t>
            </w:r>
          </w:p>
        </w:tc>
        <w:tc>
          <w:tcPr>
            <w:tcW w:w="3100" w:type="dxa"/>
            <w:vAlign w:val="center"/>
          </w:tcPr>
          <w:p>
            <w:pPr>
              <w:pStyle w:val="16"/>
              <w:rPr>
                <w:kern w:val="2"/>
                <w:sz w:val="24"/>
                <w:szCs w:val="21"/>
              </w:rPr>
            </w:pPr>
            <w:r>
              <w:rPr>
                <w:rFonts w:hint="eastAsia"/>
                <w:kern w:val="2"/>
                <w:sz w:val="24"/>
                <w:szCs w:val="21"/>
              </w:rPr>
              <w:t>建设内容</w:t>
            </w:r>
          </w:p>
        </w:tc>
        <w:tc>
          <w:tcPr>
            <w:tcW w:w="1690" w:type="dxa"/>
            <w:vAlign w:val="center"/>
          </w:tcPr>
          <w:p>
            <w:pPr>
              <w:pStyle w:val="16"/>
              <w:rPr>
                <w:kern w:val="2"/>
                <w:sz w:val="24"/>
                <w:szCs w:val="21"/>
              </w:rPr>
            </w:pPr>
            <w:r>
              <w:rPr>
                <w:rFonts w:hint="eastAsia"/>
                <w:kern w:val="2"/>
                <w:sz w:val="24"/>
                <w:szCs w:val="21"/>
              </w:rPr>
              <w:t>数量</w:t>
            </w:r>
          </w:p>
        </w:tc>
        <w:tc>
          <w:tcPr>
            <w:tcW w:w="2607" w:type="dxa"/>
            <w:vAlign w:val="center"/>
          </w:tcPr>
          <w:p>
            <w:pPr>
              <w:pStyle w:val="16"/>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018" w:type="dxa"/>
            <w:vAlign w:val="center"/>
          </w:tcPr>
          <w:p>
            <w:pPr>
              <w:pStyle w:val="16"/>
              <w:rPr>
                <w:kern w:val="2"/>
                <w:sz w:val="24"/>
                <w:szCs w:val="21"/>
              </w:rPr>
            </w:pPr>
            <w:r>
              <w:rPr>
                <w:kern w:val="2"/>
                <w:sz w:val="24"/>
                <w:szCs w:val="21"/>
              </w:rPr>
              <w:t>1</w:t>
            </w:r>
          </w:p>
        </w:tc>
        <w:tc>
          <w:tcPr>
            <w:tcW w:w="2144" w:type="dxa"/>
            <w:vAlign w:val="center"/>
          </w:tcPr>
          <w:p>
            <w:pPr>
              <w:pStyle w:val="16"/>
              <w:rPr>
                <w:kern w:val="2"/>
                <w:sz w:val="24"/>
                <w:szCs w:val="21"/>
              </w:rPr>
            </w:pPr>
            <w:r>
              <w:rPr>
                <w:rFonts w:hint="eastAsia" w:ascii="方正仿宋_GBK" w:hAnsi="方正仿宋_GBK" w:eastAsia="方正仿宋_GBK" w:cs="方正仿宋_GBK"/>
                <w:kern w:val="2"/>
                <w:sz w:val="32"/>
                <w:szCs w:val="32"/>
              </w:rPr>
              <w:t>智慧图书馆系统建设项目</w:t>
            </w:r>
          </w:p>
        </w:tc>
        <w:tc>
          <w:tcPr>
            <w:tcW w:w="3100" w:type="dxa"/>
            <w:vAlign w:val="center"/>
          </w:tcPr>
          <w:p>
            <w:pPr>
              <w:pStyle w:val="16"/>
              <w:numPr>
                <w:ilvl w:val="0"/>
                <w:numId w:val="7"/>
              </w:numPr>
              <w:jc w:val="left"/>
              <w:rPr>
                <w:rFonts w:ascii="宋体" w:hAnsi="宋体" w:cs="宋体"/>
                <w:color w:val="000000"/>
                <w:szCs w:val="21"/>
                <w:lang w:bidi="ar"/>
              </w:rPr>
            </w:pPr>
            <w:r>
              <w:rPr>
                <w:rFonts w:hint="eastAsia" w:cs="宋体"/>
                <w:color w:val="000000"/>
                <w:sz w:val="22"/>
                <w:lang w:eastAsia="zh-CN"/>
              </w:rPr>
              <w:t>智慧图书馆</w:t>
            </w:r>
            <w:r>
              <w:rPr>
                <w:rFonts w:cs="宋体"/>
                <w:color w:val="000000"/>
                <w:sz w:val="22"/>
              </w:rPr>
              <w:t>平台</w:t>
            </w:r>
            <w:r>
              <w:rPr>
                <w:rFonts w:hint="eastAsia" w:cs="宋体"/>
                <w:color w:val="000000"/>
                <w:sz w:val="22"/>
              </w:rPr>
              <w:t>（设计、编程、上线）</w:t>
            </w:r>
          </w:p>
          <w:p>
            <w:pPr>
              <w:pStyle w:val="16"/>
              <w:numPr>
                <w:ilvl w:val="0"/>
                <w:numId w:val="7"/>
              </w:numPr>
              <w:jc w:val="left"/>
              <w:rPr>
                <w:rFonts w:ascii="宋体" w:hAnsi="宋体" w:cs="宋体"/>
                <w:color w:val="000000"/>
                <w:szCs w:val="21"/>
                <w:lang w:bidi="ar"/>
              </w:rPr>
            </w:pPr>
            <w:r>
              <w:rPr>
                <w:rFonts w:hint="eastAsia" w:ascii="宋体" w:hAnsi="宋体" w:cs="宋体"/>
                <w:color w:val="000000"/>
                <w:szCs w:val="21"/>
              </w:rPr>
              <w:t>医学搜索数据库</w:t>
            </w:r>
          </w:p>
          <w:p>
            <w:pPr>
              <w:pStyle w:val="16"/>
              <w:numPr>
                <w:ilvl w:val="0"/>
                <w:numId w:val="7"/>
              </w:numPr>
              <w:jc w:val="left"/>
              <w:rPr>
                <w:rFonts w:ascii="宋体" w:hAnsi="宋体" w:cs="宋体"/>
                <w:color w:val="000000"/>
                <w:szCs w:val="21"/>
                <w:lang w:bidi="ar"/>
              </w:rPr>
            </w:pPr>
            <w:r>
              <w:rPr>
                <w:rFonts w:hint="eastAsia" w:ascii="宋体" w:hAnsi="宋体" w:cs="宋体"/>
                <w:color w:val="000000"/>
                <w:szCs w:val="21"/>
                <w:lang w:bidi="ar"/>
              </w:rPr>
              <w:t>移动图书馆（安卓及苹果兼容）</w:t>
            </w:r>
          </w:p>
          <w:p>
            <w:pPr>
              <w:pStyle w:val="16"/>
              <w:numPr>
                <w:ilvl w:val="0"/>
                <w:numId w:val="7"/>
              </w:numPr>
              <w:jc w:val="left"/>
              <w:rPr>
                <w:rFonts w:hint="eastAsia" w:ascii="宋体" w:hAnsi="宋体" w:cs="宋体"/>
                <w:color w:val="000000"/>
                <w:szCs w:val="21"/>
                <w:lang w:bidi="ar"/>
              </w:rPr>
            </w:pPr>
            <w:r>
              <w:rPr>
                <w:rFonts w:hint="eastAsia" w:ascii="宋体" w:hAnsi="宋体" w:cs="宋体"/>
                <w:color w:val="000000"/>
                <w:szCs w:val="21"/>
                <w:lang w:bidi="ar"/>
              </w:rPr>
              <w:t>纸质图书管理系统</w:t>
            </w:r>
          </w:p>
          <w:p>
            <w:pPr>
              <w:pStyle w:val="16"/>
              <w:jc w:val="left"/>
              <w:rPr>
                <w:rFonts w:ascii="宋体" w:hAnsi="宋体" w:cs="宋体"/>
                <w:color w:val="000000"/>
                <w:szCs w:val="21"/>
                <w:lang w:bidi="ar"/>
              </w:rPr>
            </w:pPr>
          </w:p>
        </w:tc>
        <w:tc>
          <w:tcPr>
            <w:tcW w:w="1690" w:type="dxa"/>
            <w:vAlign w:val="center"/>
          </w:tcPr>
          <w:p>
            <w:pPr>
              <w:pStyle w:val="16"/>
              <w:rPr>
                <w:kern w:val="2"/>
                <w:sz w:val="24"/>
                <w:szCs w:val="21"/>
              </w:rPr>
            </w:pPr>
            <w:r>
              <w:rPr>
                <w:kern w:val="2"/>
                <w:sz w:val="24"/>
                <w:szCs w:val="21"/>
              </w:rPr>
              <w:t>1</w:t>
            </w:r>
            <w:r>
              <w:rPr>
                <w:rFonts w:hint="eastAsia"/>
                <w:kern w:val="2"/>
                <w:sz w:val="24"/>
                <w:szCs w:val="21"/>
              </w:rPr>
              <w:t>套</w:t>
            </w:r>
          </w:p>
        </w:tc>
        <w:tc>
          <w:tcPr>
            <w:tcW w:w="2607" w:type="dxa"/>
            <w:vAlign w:val="center"/>
          </w:tcPr>
          <w:p>
            <w:pPr>
              <w:pStyle w:val="16"/>
              <w:rPr>
                <w:kern w:val="2"/>
                <w:sz w:val="24"/>
                <w:szCs w:val="21"/>
              </w:rPr>
            </w:pPr>
            <w:r>
              <w:rPr>
                <w:rFonts w:hint="eastAsia"/>
                <w:kern w:val="2"/>
                <w:sz w:val="24"/>
                <w:szCs w:val="21"/>
              </w:rPr>
              <w:t>合同签订后</w:t>
            </w:r>
            <w:r>
              <w:rPr>
                <w:rFonts w:hint="eastAsia"/>
                <w:color w:val="FF0000"/>
                <w:kern w:val="2"/>
                <w:sz w:val="24"/>
                <w:szCs w:val="21"/>
                <w:lang w:val="en-US" w:eastAsia="zh-CN"/>
              </w:rPr>
              <w:t>60</w:t>
            </w:r>
            <w:r>
              <w:rPr>
                <w:rFonts w:hint="eastAsia"/>
                <w:color w:val="FF0000"/>
                <w:kern w:val="2"/>
                <w:sz w:val="24"/>
                <w:szCs w:val="21"/>
              </w:rPr>
              <w:t>天</w:t>
            </w:r>
            <w:r>
              <w:rPr>
                <w:rFonts w:hint="eastAsia"/>
                <w:kern w:val="2"/>
                <w:sz w:val="24"/>
                <w:szCs w:val="21"/>
              </w:rPr>
              <w:t>内完成软件安装、调试、培训及上线等全部实施工作。</w:t>
            </w:r>
          </w:p>
        </w:tc>
      </w:tr>
    </w:tbl>
    <w:p/>
    <w:p>
      <w:pPr>
        <w:numPr>
          <w:ilvl w:val="0"/>
          <w:numId w:val="5"/>
        </w:numPr>
        <w:outlineLvl w:val="1"/>
        <w:rPr>
          <w:rFonts w:ascii="方正黑体_GBK" w:hAnsi="方正黑体_GBK" w:eastAsia="方正黑体_GBK" w:cs="方正黑体_GBK"/>
          <w:bCs/>
          <w:sz w:val="32"/>
          <w:szCs w:val="32"/>
        </w:rPr>
      </w:pPr>
      <w:r>
        <w:rPr>
          <w:rFonts w:hint="eastAsia" w:ascii="方正楷体_GBK" w:hAnsi="方正楷体_GBK" w:eastAsia="方正楷体_GBK" w:cs="方正楷体_GBK"/>
          <w:sz w:val="32"/>
          <w:szCs w:val="32"/>
        </w:rPr>
        <w:t>技术规格和配置要求</w:t>
      </w:r>
    </w:p>
    <w:p>
      <w:pPr>
        <w:outlineLvl w:val="1"/>
        <w:rPr>
          <w:rFonts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产品技术标准要求</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智慧图书馆系统项目建设帮助医院搭建属于自己的智慧图书馆，不需要院方提供服务器，就可使机构下的每一位医务工作者通过个人账号在任何有互联网的地方无限地获取自己需要的资源。</w:t>
      </w:r>
    </w:p>
    <w:p>
      <w:pPr>
        <w:numPr>
          <w:ilvl w:val="0"/>
          <w:numId w:val="8"/>
        </w:numPr>
        <w:outlineLvl w:val="1"/>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总体要求</w:t>
      </w:r>
    </w:p>
    <w:p>
      <w:pPr>
        <w:spacing w:line="580" w:lineRule="exact"/>
        <w:ind w:firstLine="560" w:firstLineChars="200"/>
        <w:outlineLvl w:val="1"/>
        <w:rPr>
          <w:rFonts w:ascii="方正黑体_GBK" w:hAnsi="方正黑体_GBK" w:eastAsia="方正黑体_GBK" w:cs="方正黑体_GBK"/>
          <w:bCs/>
          <w:sz w:val="28"/>
          <w:szCs w:val="28"/>
        </w:rPr>
      </w:pPr>
      <w:r>
        <w:rPr>
          <w:rFonts w:hint="eastAsia" w:ascii="方正仿宋_GBK" w:hAnsi="方正仿宋_GBK" w:eastAsia="方正仿宋_GBK" w:cs="方正仿宋_GBK"/>
          <w:bCs/>
          <w:sz w:val="28"/>
          <w:szCs w:val="28"/>
        </w:rPr>
        <w:t>提供图书预约、续借、催还、馆际互借等功能，可以管理单位的每一位注册用户，且能通过后台查看本院读者、研究生、进修生、实习生、规培生的借阅记录。在不增加服务器、阵列、机房等投入的基础上，智慧图书馆平台为医院节省大量的硬件投资和网络资源及机房空间。</w:t>
      </w:r>
    </w:p>
    <w:p>
      <w:pPr>
        <w:numPr>
          <w:ilvl w:val="0"/>
          <w:numId w:val="8"/>
        </w:numPr>
        <w:outlineLvl w:val="1"/>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技术参数要求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11"/>
        <w:gridCol w:w="1404"/>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rPr>
              <w:t>名称</w:t>
            </w: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rPr>
              <w:t>序号</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rPr>
              <w:t>种类</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rPr>
              <w:t>功能及要求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lang w:val="en-US" w:eastAsia="zh-CN"/>
              </w:rPr>
              <w:t>智慧</w:t>
            </w:r>
            <w:r>
              <w:rPr>
                <w:rFonts w:hint="eastAsia" w:cs="仿宋" w:asciiTheme="minorEastAsia" w:hAnsiTheme="minorEastAsia" w:eastAsiaTheme="minorEastAsia"/>
                <w:b/>
                <w:color w:val="auto"/>
                <w:szCs w:val="21"/>
              </w:rPr>
              <w:t>图书馆</w:t>
            </w: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color w:val="auto"/>
              </w:rPr>
            </w:pPr>
            <w:r>
              <w:rPr>
                <w:rFonts w:hint="eastAsia" w:ascii="宋体" w:hAnsi="宋体"/>
                <w:color w:val="auto"/>
              </w:rPr>
              <w:t>1</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资源种类</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提供1</w:t>
            </w:r>
            <w:r>
              <w:rPr>
                <w:rFonts w:hint="eastAsia" w:cs="仿宋" w:asciiTheme="minorEastAsia" w:hAnsiTheme="minorEastAsia" w:eastAsiaTheme="minorEastAsia"/>
                <w:color w:val="auto"/>
                <w:szCs w:val="21"/>
                <w:lang w:val="en-US" w:eastAsia="zh-CN"/>
              </w:rPr>
              <w:t>5</w:t>
            </w:r>
            <w:r>
              <w:rPr>
                <w:rFonts w:hint="eastAsia" w:cs="仿宋" w:asciiTheme="minorEastAsia" w:hAnsiTheme="minorEastAsia" w:eastAsiaTheme="minorEastAsia"/>
                <w:color w:val="auto"/>
                <w:szCs w:val="21"/>
              </w:rPr>
              <w:t>种以上</w:t>
            </w:r>
            <w:r>
              <w:rPr>
                <w:rFonts w:cs="仿宋" w:asciiTheme="minorEastAsia" w:hAnsiTheme="minorEastAsia" w:eastAsiaTheme="minorEastAsia"/>
                <w:color w:val="auto"/>
                <w:szCs w:val="21"/>
              </w:rPr>
              <w:t>医学</w:t>
            </w:r>
            <w:r>
              <w:rPr>
                <w:rFonts w:hint="eastAsia" w:cs="仿宋" w:asciiTheme="minorEastAsia" w:hAnsiTheme="minorEastAsia" w:eastAsiaTheme="minorEastAsia"/>
                <w:color w:val="auto"/>
                <w:szCs w:val="21"/>
              </w:rPr>
              <w:t>资源，应包含：图书、中外文</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期刊、报纸、视频、文档6种基础资源。并实现一站式检索，且检索结果同一平台显示。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color w:val="auto"/>
              </w:rPr>
            </w:pPr>
            <w:r>
              <w:rPr>
                <w:rFonts w:hint="eastAsia" w:ascii="宋体" w:hAnsi="宋体"/>
                <w:color w:val="auto"/>
              </w:rPr>
              <w:t>2</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图书</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1.图书元数据种类</w:t>
            </w:r>
            <w:r>
              <w:rPr>
                <w:rFonts w:cs="仿宋" w:asciiTheme="minorEastAsia" w:hAnsiTheme="minorEastAsia" w:eastAsiaTheme="minorEastAsia"/>
                <w:color w:val="auto"/>
                <w:szCs w:val="21"/>
              </w:rPr>
              <w:t>5</w:t>
            </w:r>
            <w:r>
              <w:rPr>
                <w:rFonts w:hint="eastAsia" w:cs="仿宋" w:asciiTheme="minorEastAsia" w:hAnsiTheme="minorEastAsia" w:eastAsiaTheme="minorEastAsia"/>
                <w:color w:val="auto"/>
                <w:szCs w:val="21"/>
              </w:rPr>
              <w:t>00万种以上，其中医学图书元数据不低于20万种；更新及时，图书年更新量不少于5万种；图书须保持纸质图书原文原貌；提供多种检索方式，如：书名、作者、主题词等，同时实现图书的全文检索；图书须具有在线阅读、下载、打印等功能；图书须提供专用阅读器，便于读者进行个性化阅读；可实现对所有可利用的图书进行文字提取，编缉，并自动标示出处的功能。</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2.图书系统可实现与</w:t>
            </w:r>
            <w:r>
              <w:rPr>
                <w:rFonts w:cs="仿宋" w:asciiTheme="minorEastAsia" w:hAnsiTheme="minorEastAsia" w:eastAsiaTheme="minorEastAsia"/>
                <w:color w:val="auto"/>
                <w:szCs w:val="21"/>
              </w:rPr>
              <w:t>我院</w:t>
            </w:r>
            <w:r>
              <w:rPr>
                <w:rFonts w:hint="eastAsia" w:cs="仿宋" w:asciiTheme="minorEastAsia" w:hAnsiTheme="minorEastAsia" w:eastAsiaTheme="minorEastAsia"/>
                <w:color w:val="auto"/>
                <w:szCs w:val="21"/>
              </w:rPr>
              <w:t>的图书管理软件的无缝挂接。</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3.验收时需提供图书书目备查。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color w:val="auto"/>
              </w:rPr>
            </w:pPr>
            <w:r>
              <w:rPr>
                <w:rFonts w:hint="eastAsia" w:ascii="宋体" w:hAnsi="宋体"/>
                <w:color w:val="auto"/>
              </w:rPr>
              <w:t>3</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中文医学期刊</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中文医学期刊元数据检索不少于3500余种，涵盖所有医学核心期刊；更新及时；时间跨度长，大部分期刊提供封面页及目录页；元数据应当月更新。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color w:val="auto"/>
              </w:rPr>
            </w:pPr>
            <w:r>
              <w:rPr>
                <w:rFonts w:hint="eastAsia" w:ascii="宋体" w:hAnsi="宋体"/>
                <w:color w:val="auto"/>
              </w:rPr>
              <w:t>4</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外文医学期刊</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外文医学期刊元数据检索不少于3</w:t>
            </w:r>
            <w:r>
              <w:rPr>
                <w:rFonts w:cs="仿宋" w:asciiTheme="minorEastAsia" w:hAnsiTheme="minorEastAsia" w:eastAsiaTheme="minorEastAsia"/>
                <w:color w:val="auto"/>
                <w:szCs w:val="21"/>
              </w:rPr>
              <w:t>0</w:t>
            </w:r>
            <w:r>
              <w:rPr>
                <w:rFonts w:hint="eastAsia" w:cs="仿宋" w:asciiTheme="minorEastAsia" w:hAnsiTheme="minorEastAsia" w:eastAsiaTheme="minorEastAsia"/>
                <w:color w:val="auto"/>
                <w:szCs w:val="21"/>
              </w:rPr>
              <w:t>000余种，且能检PubMed数据库收录的以外医学期刊元数据。</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元数据</w:t>
            </w:r>
            <w:r>
              <w:rPr>
                <w:rFonts w:cs="仿宋" w:asciiTheme="minorEastAsia" w:hAnsiTheme="minorEastAsia" w:eastAsiaTheme="minorEastAsia"/>
                <w:color w:val="auto"/>
                <w:szCs w:val="21"/>
              </w:rPr>
              <w:t>应当月</w:t>
            </w:r>
            <w:r>
              <w:rPr>
                <w:rFonts w:hint="eastAsia" w:cs="仿宋" w:asciiTheme="minorEastAsia" w:hAnsiTheme="minorEastAsia" w:eastAsiaTheme="minorEastAsia"/>
                <w:color w:val="auto"/>
                <w:szCs w:val="21"/>
              </w:rPr>
              <w:t>更新；时间跨度长。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color w:val="auto"/>
              </w:rPr>
            </w:pPr>
            <w:r>
              <w:rPr>
                <w:rFonts w:hint="eastAsia" w:ascii="宋体" w:hAnsi="宋体"/>
                <w:color w:val="auto"/>
              </w:rPr>
              <w:t>5</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视频</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学术视频元数据不少于100万集，其中医学类不少于5万集。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6</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报纸</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报纸元数据不少于6000万篇，应当日更新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color w:val="auto"/>
              </w:rPr>
            </w:pPr>
            <w:r>
              <w:rPr>
                <w:rFonts w:hint="eastAsia" w:ascii="宋体" w:hAnsi="宋体"/>
                <w:color w:val="auto"/>
              </w:rPr>
              <w:t>7</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论文</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中文学位论文元数据不少于500万篇；中文会议论文元数据不少于300万篇；外文学位论文元数据不少于800万篇；外文会议论文元数据不少于500万篇。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8</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门户网站</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1.提供网站管理系统，支持管理员新建网站，修改网站的基本信息，删除网站，预览编辑等。</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2.提供高级设置版块，支持网站挂接自有域名、查看访问统计、设置访问权限、管理员管理等。</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3.支持图书馆管理员创建多个网站，能够实现不同校区图书馆建设分站。</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4.采用前后端分离技术，具有可视化页面设计后台，拖拽式页面布局，所见即所得。</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5.支持预选多种网页风格模板，快速创建生成多个（含部分常用应用模块的）网站页面；单位可设置自己的网站为单位内模板。</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6.支持自定义设置网站主题色、网站背景等。</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7.提供网站设计板块，包括基础、应用、布局和全局模块。基础模块包括图标列表、文本列表、图文列表、多图列表、搜索、轮播图、图表、表格八类，用以生成网站应用模块，满足绝大部分网站内容的展现形式。</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8.各应用模块有独立的设置后台，可以随时、自主地进行应用基本信息设置（应用名称的修改）、应用样式的调整、应用展现细节的调整等操作；提供内容管理功能，可以随时、自主地进行内容数据的添加、编辑、删除操作，结果在门户页面上及时更新。</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9.支持根据规定的接口规范，模块数据源使用外部数据接口。</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10.提供数据中心用于图文列表、多图列表、文本列表、图表类应用，单位根据相关产品使用情况可直接选择数据源生成诸如数据库导航、期刊导航、热词词云、词云排行榜、阅读喜好、阅读测评趋势、活动管理、读者荐购、阅读推荐等应用模块。</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11.本地添加内容自定义编辑器采用行业领先的富文本编辑器，支持富文本线编辑，支持图片、视频、附件、超链接等上传；支持对接云盘文件。</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12.提供包含专题和课程的资源市场，用于图文列表、多图列表、文本列表类模块数据的添加。</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13.支持同时对接多种搜索引擎，支持搜索创建为站内搜索工具。</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图文列表、多图列表、文本列表类应用模块，本地数据管理支持批量导入、数据导出、多分类管理、置顶、发布、拖拽排序、批量编辑、关键词数据筛选；可在多个内容列表页样式中进行选择设置。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2" w:type="dxa"/>
            <w:vMerge w:val="restart"/>
            <w:tcBorders>
              <w:top w:val="single" w:color="auto" w:sz="4" w:space="0"/>
              <w:left w:val="single" w:color="auto" w:sz="4" w:space="0"/>
              <w:right w:val="single" w:color="auto" w:sz="4" w:space="0"/>
            </w:tcBorders>
            <w:shd w:val="clear" w:color="auto" w:fill="FFFFFF" w:themeFill="background1"/>
            <w:vAlign w:val="center"/>
          </w:tcPr>
          <w:p>
            <w:pPr>
              <w:widowControl/>
              <w:jc w:val="center"/>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rPr>
              <w:t>产品服务要求</w:t>
            </w:r>
          </w:p>
        </w:tc>
        <w:tc>
          <w:tcPr>
            <w:tcW w:w="711"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color w:val="auto"/>
              </w:rPr>
            </w:pPr>
            <w:r>
              <w:rPr>
                <w:rFonts w:hint="eastAsia" w:ascii="宋体" w:hAnsi="宋体"/>
                <w:color w:val="auto"/>
              </w:rPr>
              <w:t>1</w:t>
            </w:r>
            <w:r>
              <w:rPr>
                <w:rFonts w:ascii="宋体" w:hAnsi="宋体"/>
                <w:color w:val="auto"/>
              </w:rPr>
              <w:t>0</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lang w:eastAsia="zh-CN"/>
              </w:rPr>
              <w:t>智慧图书馆</w:t>
            </w:r>
            <w:r>
              <w:rPr>
                <w:rFonts w:hint="eastAsia" w:cs="仿宋" w:asciiTheme="minorEastAsia" w:hAnsiTheme="minorEastAsia" w:eastAsiaTheme="minorEastAsia"/>
                <w:color w:val="auto"/>
                <w:szCs w:val="21"/>
              </w:rPr>
              <w:t>系统服务要求</w:t>
            </w:r>
          </w:p>
        </w:tc>
        <w:tc>
          <w:tcPr>
            <w:tcW w:w="5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1.服务期内免费升级数据。</w:t>
            </w:r>
          </w:p>
          <w:p>
            <w:pP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2.提供对至少</w:t>
            </w:r>
            <w:r>
              <w:rPr>
                <w:rFonts w:cs="仿宋" w:asciiTheme="minorEastAsia" w:hAnsiTheme="minorEastAsia" w:eastAsiaTheme="minorEastAsia"/>
                <w:color w:val="auto"/>
                <w:szCs w:val="21"/>
              </w:rPr>
              <w:t>4</w:t>
            </w:r>
            <w:r>
              <w:rPr>
                <w:rFonts w:hint="eastAsia" w:cs="仿宋" w:asciiTheme="minorEastAsia" w:hAnsiTheme="minorEastAsia" w:eastAsiaTheme="minorEastAsia"/>
                <w:color w:val="auto"/>
                <w:szCs w:val="21"/>
              </w:rPr>
              <w:t>00万册图书元数据、至少</w:t>
            </w:r>
            <w:r>
              <w:rPr>
                <w:rFonts w:cs="仿宋" w:asciiTheme="minorEastAsia" w:hAnsiTheme="minorEastAsia" w:eastAsiaTheme="minorEastAsia"/>
                <w:color w:val="auto"/>
                <w:szCs w:val="21"/>
              </w:rPr>
              <w:t>40</w:t>
            </w:r>
            <w:r>
              <w:rPr>
                <w:rFonts w:hint="eastAsia" w:cs="仿宋" w:asciiTheme="minorEastAsia" w:hAnsiTheme="minorEastAsia" w:eastAsiaTheme="minorEastAsia"/>
                <w:color w:val="auto"/>
                <w:szCs w:val="21"/>
              </w:rPr>
              <w:t>00种中文医学期刊元数据、至少3</w:t>
            </w:r>
            <w:r>
              <w:rPr>
                <w:rFonts w:cs="仿宋" w:asciiTheme="minorEastAsia" w:hAnsiTheme="minorEastAsia" w:eastAsiaTheme="minorEastAsia"/>
                <w:color w:val="auto"/>
                <w:szCs w:val="21"/>
              </w:rPr>
              <w:t>0</w:t>
            </w:r>
            <w:r>
              <w:rPr>
                <w:rFonts w:hint="eastAsia" w:cs="仿宋" w:asciiTheme="minorEastAsia" w:hAnsiTheme="minorEastAsia" w:eastAsiaTheme="minorEastAsia"/>
                <w:color w:val="auto"/>
                <w:szCs w:val="21"/>
              </w:rPr>
              <w:t>000种外文医学期刊元数据、视频、报纸、论文的一站式检索功能；可检索图书和章节和图书内容。每个读者都有自己的个人账户。检索简单易于操作。另有针对专业人员的二次检索、高级检索、专业检索及排序功能。</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3.无时间空间限制，能上互联网的地方就能使用；</w:t>
            </w:r>
          </w:p>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4.提供云存储、云计算的云服务托管模式。</w:t>
            </w:r>
          </w:p>
          <w:p>
            <w:pPr>
              <w:widowControl/>
              <w:rPr>
                <w:rFonts w:cs="仿宋" w:asciiTheme="minorEastAsia" w:hAnsiTheme="minorEastAsia" w:eastAsiaTheme="minorEastAsia"/>
                <w:color w:val="auto"/>
                <w:szCs w:val="21"/>
              </w:rPr>
            </w:pPr>
            <w:r>
              <w:rPr>
                <w:rFonts w:cs="仿宋" w:asciiTheme="minorEastAsia" w:hAnsiTheme="minorEastAsia" w:eastAsiaTheme="minorEastAsia"/>
                <w:color w:val="auto"/>
                <w:szCs w:val="21"/>
              </w:rPr>
              <w:t>5</w:t>
            </w:r>
            <w:r>
              <w:rPr>
                <w:rFonts w:hint="eastAsia" w:cs="仿宋" w:asciiTheme="minorEastAsia" w:hAnsiTheme="minorEastAsia" w:eastAsiaTheme="minorEastAsia"/>
                <w:color w:val="auto"/>
                <w:szCs w:val="21"/>
              </w:rPr>
              <w:t>.可实现全文阅读、馆际互借、参考咨询等功能。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2" w:type="dxa"/>
            <w:vMerge w:val="continue"/>
            <w:tcBorders>
              <w:left w:val="single" w:color="auto" w:sz="4" w:space="0"/>
              <w:right w:val="single" w:color="auto" w:sz="4" w:space="0"/>
            </w:tcBorders>
            <w:shd w:val="clear" w:color="auto" w:fill="FFFFFF" w:themeFill="background1"/>
            <w:vAlign w:val="center"/>
          </w:tcPr>
          <w:p>
            <w:pPr>
              <w:widowControl/>
              <w:jc w:val="left"/>
              <w:rPr>
                <w:rFonts w:cs="仿宋" w:asciiTheme="minorEastAsia" w:hAnsiTheme="minorEastAsia" w:eastAsiaTheme="minorEastAsia"/>
                <w:color w:val="auto"/>
                <w:szCs w:val="21"/>
              </w:rPr>
            </w:pPr>
          </w:p>
        </w:tc>
        <w:tc>
          <w:tcPr>
            <w:tcW w:w="711" w:type="dxa"/>
            <w:shd w:val="clear" w:color="auto" w:fill="FFFFFF" w:themeFill="background1"/>
            <w:vAlign w:val="center"/>
          </w:tcPr>
          <w:p>
            <w:pPr>
              <w:jc w:val="center"/>
              <w:rPr>
                <w:rFonts w:ascii="宋体" w:hAnsi="宋体"/>
                <w:color w:val="auto"/>
              </w:rPr>
            </w:pPr>
            <w:r>
              <w:rPr>
                <w:rFonts w:hint="eastAsia" w:ascii="宋体" w:hAnsi="宋体"/>
                <w:color w:val="auto"/>
              </w:rPr>
              <w:t>1</w:t>
            </w:r>
            <w:r>
              <w:rPr>
                <w:rFonts w:ascii="宋体" w:hAnsi="宋体"/>
                <w:color w:val="auto"/>
              </w:rPr>
              <w:t>3</w:t>
            </w:r>
          </w:p>
        </w:tc>
        <w:tc>
          <w:tcPr>
            <w:tcW w:w="1404" w:type="dxa"/>
            <w:shd w:val="clear" w:color="auto" w:fill="FFFFFF" w:themeFill="background1"/>
            <w:vAlign w:val="center"/>
          </w:tcPr>
          <w:p>
            <w:pP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整合服务要求</w:t>
            </w:r>
          </w:p>
        </w:tc>
        <w:tc>
          <w:tcPr>
            <w:tcW w:w="5479" w:type="dxa"/>
            <w:shd w:val="clear" w:color="auto" w:fill="FFFFFF" w:themeFill="background1"/>
            <w:vAlign w:val="center"/>
          </w:tcPr>
          <w:p>
            <w:pPr>
              <w:widowControl/>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电脑</w:t>
            </w:r>
            <w:r>
              <w:rPr>
                <w:rFonts w:cs="仿宋" w:asciiTheme="minorEastAsia" w:hAnsiTheme="minorEastAsia" w:eastAsiaTheme="minorEastAsia"/>
                <w:color w:val="auto"/>
                <w:szCs w:val="21"/>
              </w:rPr>
              <w:t>终端版和移动终端版必须实现对至少4</w:t>
            </w:r>
            <w:r>
              <w:rPr>
                <w:rFonts w:hint="eastAsia" w:cs="仿宋" w:asciiTheme="minorEastAsia" w:hAnsiTheme="minorEastAsia" w:eastAsiaTheme="minorEastAsia"/>
                <w:color w:val="auto"/>
                <w:szCs w:val="21"/>
              </w:rPr>
              <w:t>00万册</w:t>
            </w:r>
            <w:r>
              <w:rPr>
                <w:rFonts w:cs="仿宋" w:asciiTheme="minorEastAsia" w:hAnsiTheme="minorEastAsia" w:eastAsiaTheme="minorEastAsia"/>
                <w:color w:val="auto"/>
                <w:szCs w:val="21"/>
              </w:rPr>
              <w:t>图书元数据、至少</w:t>
            </w:r>
            <w:r>
              <w:rPr>
                <w:rFonts w:hint="eastAsia" w:cs="仿宋" w:asciiTheme="minorEastAsia" w:hAnsiTheme="minorEastAsia" w:eastAsiaTheme="minorEastAsia"/>
                <w:color w:val="auto"/>
                <w:szCs w:val="21"/>
              </w:rPr>
              <w:t>4</w:t>
            </w:r>
            <w:r>
              <w:rPr>
                <w:rFonts w:cs="仿宋" w:asciiTheme="minorEastAsia" w:hAnsiTheme="minorEastAsia" w:eastAsiaTheme="minorEastAsia"/>
                <w:color w:val="auto"/>
                <w:szCs w:val="21"/>
              </w:rPr>
              <w:t>0</w:t>
            </w:r>
            <w:r>
              <w:rPr>
                <w:rFonts w:hint="eastAsia" w:cs="仿宋" w:asciiTheme="minorEastAsia" w:hAnsiTheme="minorEastAsia" w:eastAsiaTheme="minorEastAsia"/>
                <w:color w:val="auto"/>
                <w:szCs w:val="21"/>
              </w:rPr>
              <w:t>00种中文医学</w:t>
            </w:r>
            <w:r>
              <w:rPr>
                <w:rFonts w:cs="仿宋" w:asciiTheme="minorEastAsia" w:hAnsiTheme="minorEastAsia" w:eastAsiaTheme="minorEastAsia"/>
                <w:color w:val="auto"/>
                <w:szCs w:val="21"/>
              </w:rPr>
              <w:t>期刊元数据、</w:t>
            </w:r>
            <w:r>
              <w:rPr>
                <w:rFonts w:hint="eastAsia" w:cs="仿宋" w:asciiTheme="minorEastAsia" w:hAnsiTheme="minorEastAsia" w:eastAsiaTheme="minorEastAsia"/>
                <w:color w:val="auto"/>
                <w:szCs w:val="21"/>
              </w:rPr>
              <w:t>3</w:t>
            </w:r>
            <w:r>
              <w:rPr>
                <w:rFonts w:cs="仿宋" w:asciiTheme="minorEastAsia" w:hAnsiTheme="minorEastAsia" w:eastAsiaTheme="minorEastAsia"/>
                <w:color w:val="auto"/>
                <w:szCs w:val="21"/>
              </w:rPr>
              <w:t>0</w:t>
            </w:r>
            <w:r>
              <w:rPr>
                <w:rFonts w:hint="eastAsia" w:cs="仿宋" w:asciiTheme="minorEastAsia" w:hAnsiTheme="minorEastAsia" w:eastAsiaTheme="minorEastAsia"/>
                <w:color w:val="auto"/>
                <w:szCs w:val="21"/>
              </w:rPr>
              <w:t>000种外文医学期刊</w:t>
            </w:r>
            <w:r>
              <w:rPr>
                <w:rFonts w:cs="仿宋" w:asciiTheme="minorEastAsia" w:hAnsiTheme="minorEastAsia" w:eastAsiaTheme="minorEastAsia"/>
                <w:color w:val="auto"/>
                <w:szCs w:val="21"/>
              </w:rPr>
              <w:t>元数据</w:t>
            </w:r>
            <w:r>
              <w:rPr>
                <w:rFonts w:hint="eastAsia" w:cs="仿宋" w:asciiTheme="minorEastAsia" w:hAnsiTheme="minorEastAsia" w:eastAsiaTheme="minorEastAsia"/>
                <w:color w:val="auto"/>
                <w:szCs w:val="21"/>
              </w:rPr>
              <w:t>、</w:t>
            </w:r>
            <w:r>
              <w:rPr>
                <w:rFonts w:cs="仿宋" w:asciiTheme="minorEastAsia" w:hAnsiTheme="minorEastAsia" w:eastAsiaTheme="minorEastAsia"/>
                <w:color w:val="auto"/>
                <w:szCs w:val="21"/>
              </w:rPr>
              <w:t>论文、视频的统一检索，各个文献频道切换与获取资源时，需始终保障用户身份存在。</w:t>
            </w:r>
          </w:p>
        </w:tc>
      </w:tr>
    </w:tbl>
    <w:p/>
    <w:p>
      <w:pPr>
        <w:pStyle w:val="2"/>
        <w:numPr>
          <w:ilvl w:val="0"/>
          <w:numId w:val="0"/>
        </w:num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42"/>
        <w:gridCol w:w="1230"/>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shd w:val="clear" w:color="auto" w:fill="F1F1F1" w:themeFill="background1" w:themeFillShade="F2"/>
            <w:vAlign w:val="center"/>
          </w:tcPr>
          <w:p>
            <w:pPr>
              <w:spacing w:line="276" w:lineRule="auto"/>
              <w:jc w:val="center"/>
              <w:rPr>
                <w:rFonts w:ascii="宋体" w:hAnsi="宋体"/>
                <w:b/>
                <w:bCs/>
                <w:color w:val="auto"/>
                <w:sz w:val="22"/>
                <w:szCs w:val="22"/>
              </w:rPr>
            </w:pPr>
            <w:r>
              <w:rPr>
                <w:rFonts w:hint="eastAsia" w:ascii="宋体" w:hAnsi="宋体"/>
                <w:b/>
                <w:bCs/>
                <w:color w:val="auto"/>
                <w:sz w:val="22"/>
                <w:szCs w:val="22"/>
              </w:rPr>
              <w:t>序号</w:t>
            </w:r>
          </w:p>
        </w:tc>
        <w:tc>
          <w:tcPr>
            <w:tcW w:w="636" w:type="pct"/>
            <w:shd w:val="clear" w:color="auto" w:fill="F1F1F1" w:themeFill="background1" w:themeFillShade="F2"/>
            <w:vAlign w:val="center"/>
          </w:tcPr>
          <w:p>
            <w:pPr>
              <w:spacing w:line="276" w:lineRule="auto"/>
              <w:jc w:val="center"/>
              <w:rPr>
                <w:rFonts w:ascii="宋体" w:hAnsi="宋体"/>
                <w:b/>
                <w:bCs/>
                <w:color w:val="auto"/>
                <w:sz w:val="22"/>
                <w:szCs w:val="22"/>
              </w:rPr>
            </w:pPr>
            <w:r>
              <w:rPr>
                <w:rFonts w:hint="eastAsia" w:ascii="宋体" w:hAnsi="宋体"/>
                <w:b/>
                <w:bCs/>
                <w:color w:val="auto"/>
                <w:sz w:val="22"/>
                <w:szCs w:val="22"/>
              </w:rPr>
              <w:t>功能名称</w:t>
            </w:r>
          </w:p>
        </w:tc>
        <w:tc>
          <w:tcPr>
            <w:tcW w:w="630" w:type="pct"/>
            <w:shd w:val="clear" w:color="auto" w:fill="F1F1F1" w:themeFill="background1" w:themeFillShade="F2"/>
          </w:tcPr>
          <w:p>
            <w:pPr>
              <w:spacing w:line="276" w:lineRule="auto"/>
              <w:jc w:val="center"/>
              <w:rPr>
                <w:rFonts w:ascii="宋体" w:hAnsi="宋体"/>
                <w:b/>
                <w:bCs/>
                <w:color w:val="auto"/>
                <w:sz w:val="22"/>
                <w:szCs w:val="22"/>
              </w:rPr>
            </w:pPr>
            <w:r>
              <w:rPr>
                <w:rFonts w:hint="eastAsia" w:ascii="宋体" w:hAnsi="宋体"/>
                <w:b/>
                <w:bCs/>
                <w:color w:val="auto"/>
                <w:sz w:val="22"/>
                <w:szCs w:val="22"/>
              </w:rPr>
              <w:t>功能项</w:t>
            </w:r>
          </w:p>
        </w:tc>
        <w:tc>
          <w:tcPr>
            <w:tcW w:w="3357" w:type="pct"/>
            <w:shd w:val="clear" w:color="auto" w:fill="F1F1F1" w:themeFill="background1" w:themeFillShade="F2"/>
            <w:vAlign w:val="center"/>
          </w:tcPr>
          <w:p>
            <w:pPr>
              <w:spacing w:line="276" w:lineRule="auto"/>
              <w:jc w:val="center"/>
              <w:rPr>
                <w:rFonts w:ascii="宋体" w:hAnsi="宋体"/>
                <w:b/>
                <w:bCs/>
                <w:color w:val="auto"/>
                <w:sz w:val="22"/>
                <w:szCs w:val="22"/>
              </w:rPr>
            </w:pPr>
            <w:r>
              <w:rPr>
                <w:rFonts w:hint="eastAsia" w:ascii="宋体" w:hAnsi="宋体"/>
                <w:b/>
                <w:bCs/>
                <w:color w:val="auto"/>
                <w:sz w:val="22"/>
                <w:szCs w:val="22"/>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shd w:val="clear" w:color="auto" w:fill="auto"/>
            <w:vAlign w:val="center"/>
          </w:tcPr>
          <w:p>
            <w:pPr>
              <w:spacing w:line="276" w:lineRule="auto"/>
              <w:jc w:val="center"/>
              <w:rPr>
                <w:rFonts w:ascii="宋体" w:hAnsi="宋体"/>
                <w:b/>
                <w:bCs/>
                <w:color w:val="auto"/>
                <w:sz w:val="22"/>
                <w:szCs w:val="22"/>
              </w:rPr>
            </w:pPr>
            <w:r>
              <w:rPr>
                <w:rFonts w:ascii="宋体" w:hAnsi="宋体"/>
                <w:b/>
                <w:color w:val="auto"/>
                <w:sz w:val="22"/>
                <w:szCs w:val="22"/>
              </w:rPr>
              <w:t>1</w:t>
            </w:r>
          </w:p>
        </w:tc>
        <w:tc>
          <w:tcPr>
            <w:tcW w:w="636" w:type="pct"/>
            <w:shd w:val="clear" w:color="auto" w:fill="auto"/>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用户</w:t>
            </w:r>
          </w:p>
          <w:p>
            <w:pPr>
              <w:spacing w:line="276" w:lineRule="auto"/>
              <w:jc w:val="center"/>
              <w:rPr>
                <w:rFonts w:ascii="宋体" w:hAnsi="宋体"/>
                <w:b/>
                <w:bCs/>
                <w:color w:val="auto"/>
                <w:sz w:val="22"/>
                <w:szCs w:val="22"/>
              </w:rPr>
            </w:pPr>
            <w:r>
              <w:rPr>
                <w:rFonts w:ascii="宋体" w:hAnsi="宋体"/>
                <w:b/>
                <w:color w:val="auto"/>
                <w:sz w:val="22"/>
                <w:szCs w:val="22"/>
              </w:rPr>
              <w:t>管理</w:t>
            </w:r>
          </w:p>
        </w:tc>
        <w:tc>
          <w:tcPr>
            <w:tcW w:w="630" w:type="pct"/>
            <w:shd w:val="clear" w:color="auto" w:fill="auto"/>
            <w:vAlign w:val="center"/>
          </w:tcPr>
          <w:p>
            <w:pPr>
              <w:spacing w:line="276" w:lineRule="auto"/>
              <w:jc w:val="center"/>
              <w:rPr>
                <w:rFonts w:ascii="宋体" w:hAnsi="宋体"/>
                <w:b/>
                <w:bCs/>
                <w:color w:val="auto"/>
                <w:sz w:val="22"/>
                <w:szCs w:val="22"/>
              </w:rPr>
            </w:pPr>
            <w:r>
              <w:rPr>
                <w:rFonts w:hint="eastAsia" w:ascii="宋体" w:hAnsi="宋体"/>
                <w:b/>
                <w:color w:val="auto"/>
                <w:sz w:val="22"/>
                <w:szCs w:val="22"/>
              </w:rPr>
              <w:t>用户</w:t>
            </w:r>
            <w:r>
              <w:rPr>
                <w:rFonts w:ascii="宋体" w:hAnsi="宋体"/>
                <w:b/>
                <w:color w:val="auto"/>
                <w:sz w:val="22"/>
                <w:szCs w:val="22"/>
              </w:rPr>
              <w:t>管理</w:t>
            </w:r>
          </w:p>
        </w:tc>
        <w:tc>
          <w:tcPr>
            <w:tcW w:w="3357" w:type="pct"/>
            <w:shd w:val="clear" w:color="auto" w:fill="auto"/>
          </w:tcPr>
          <w:p>
            <w:pPr>
              <w:widowControl/>
              <w:numPr>
                <w:ilvl w:val="0"/>
                <w:numId w:val="9"/>
              </w:numPr>
              <w:spacing w:line="276" w:lineRule="auto"/>
              <w:jc w:val="left"/>
              <w:textAlignment w:val="center"/>
              <w:rPr>
                <w:rFonts w:ascii="宋体" w:hAnsi="宋体"/>
                <w:color w:val="auto"/>
                <w:sz w:val="22"/>
                <w:szCs w:val="22"/>
              </w:rPr>
            </w:pPr>
            <w:r>
              <w:rPr>
                <w:rFonts w:ascii="宋体" w:hAnsi="宋体"/>
                <w:color w:val="auto"/>
                <w:sz w:val="22"/>
                <w:szCs w:val="22"/>
              </w:rPr>
              <w:t>提供系统平台内用户数据管理和用户角色管理，</w:t>
            </w:r>
            <w:r>
              <w:rPr>
                <w:rFonts w:hint="eastAsia" w:ascii="宋体" w:hAnsi="宋体"/>
                <w:color w:val="auto"/>
                <w:sz w:val="22"/>
                <w:szCs w:val="22"/>
              </w:rPr>
              <w:t>包括</w:t>
            </w:r>
            <w:r>
              <w:rPr>
                <w:rFonts w:ascii="宋体" w:hAnsi="宋体"/>
                <w:color w:val="auto"/>
                <w:sz w:val="22"/>
                <w:szCs w:val="22"/>
              </w:rPr>
              <w:t>常规的用户数据的新增、修改、删除、批量导入</w:t>
            </w:r>
            <w:r>
              <w:rPr>
                <w:rFonts w:hint="eastAsia" w:ascii="宋体" w:hAnsi="宋体"/>
                <w:color w:val="auto"/>
                <w:sz w:val="22"/>
                <w:szCs w:val="22"/>
              </w:rPr>
              <w:t>。</w:t>
            </w:r>
          </w:p>
          <w:p>
            <w:pPr>
              <w:widowControl/>
              <w:numPr>
                <w:ilvl w:val="0"/>
                <w:numId w:val="9"/>
              </w:numPr>
              <w:spacing w:line="276" w:lineRule="auto"/>
              <w:jc w:val="left"/>
              <w:textAlignment w:val="center"/>
              <w:rPr>
                <w:rFonts w:ascii="宋体" w:hAnsi="宋体"/>
                <w:color w:val="auto"/>
                <w:sz w:val="22"/>
                <w:szCs w:val="22"/>
              </w:rPr>
            </w:pPr>
            <w:r>
              <w:rPr>
                <w:rFonts w:ascii="宋体" w:hAnsi="宋体"/>
                <w:color w:val="auto"/>
                <w:sz w:val="22"/>
                <w:szCs w:val="22"/>
              </w:rPr>
              <w:t>提供图书馆馆员通讯录功能，支持组织架构各部门馆员通讯录数据的新增、修改、删除、批量导入。提供通讯录权限设置与部门主管设置。通讯录支持在移动端APP和PC端个人空间使用。</w:t>
            </w:r>
          </w:p>
          <w:p>
            <w:pPr>
              <w:widowControl/>
              <w:numPr>
                <w:ilvl w:val="0"/>
                <w:numId w:val="9"/>
              </w:numPr>
              <w:spacing w:line="276" w:lineRule="auto"/>
              <w:jc w:val="left"/>
              <w:textAlignment w:val="center"/>
              <w:rPr>
                <w:rFonts w:ascii="宋体" w:hAnsi="宋体"/>
                <w:color w:val="auto"/>
                <w:sz w:val="22"/>
                <w:szCs w:val="22"/>
              </w:rPr>
            </w:pPr>
            <w:r>
              <w:rPr>
                <w:rFonts w:ascii="宋体" w:hAnsi="宋体"/>
                <w:color w:val="auto"/>
                <w:sz w:val="22"/>
                <w:szCs w:val="22"/>
              </w:rPr>
              <w:t>系统支持第三方统一身份认证等多种身份验证方式，提供安全验证措施。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2</w:t>
            </w:r>
          </w:p>
        </w:tc>
        <w:tc>
          <w:tcPr>
            <w:tcW w:w="636" w:type="pct"/>
            <w:vMerge w:val="restart"/>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资源采访</w:t>
            </w:r>
          </w:p>
        </w:tc>
        <w:tc>
          <w:tcPr>
            <w:tcW w:w="3357" w:type="pct"/>
          </w:tcPr>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支持纸质资源、电子资源的统一订购。平台生成唯一的采购流水号，保证完整的、可追溯的采购流程。</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支持中央知识库订购、自采验收及PDA订购</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实现</w:t>
            </w:r>
            <w:r>
              <w:rPr>
                <w:rFonts w:ascii="宋体" w:hAnsi="宋体"/>
                <w:color w:val="auto"/>
                <w:sz w:val="22"/>
                <w:szCs w:val="22"/>
              </w:rPr>
              <w:t>快速订购</w:t>
            </w:r>
            <w:r>
              <w:rPr>
                <w:rFonts w:hint="eastAsia" w:ascii="宋体" w:hAnsi="宋体"/>
                <w:color w:val="auto"/>
                <w:sz w:val="22"/>
                <w:szCs w:val="22"/>
              </w:rPr>
              <w:t>，数据来源</w:t>
            </w:r>
            <w:r>
              <w:rPr>
                <w:rFonts w:ascii="宋体" w:hAnsi="宋体"/>
                <w:color w:val="auto"/>
                <w:sz w:val="22"/>
                <w:szCs w:val="22"/>
              </w:rPr>
              <w:t>可通过z39和中央知识库</w:t>
            </w:r>
            <w:r>
              <w:rPr>
                <w:rFonts w:hint="eastAsia" w:ascii="宋体" w:hAnsi="宋体"/>
                <w:color w:val="auto"/>
                <w:sz w:val="22"/>
                <w:szCs w:val="22"/>
              </w:rPr>
              <w:t>获取，</w:t>
            </w:r>
            <w:r>
              <w:rPr>
                <w:rFonts w:ascii="宋体" w:hAnsi="宋体"/>
                <w:color w:val="auto"/>
                <w:sz w:val="22"/>
                <w:szCs w:val="22"/>
              </w:rPr>
              <w:t>扫码直接订购</w:t>
            </w:r>
            <w:r>
              <w:rPr>
                <w:rFonts w:hint="eastAsia" w:ascii="宋体" w:hAnsi="宋体"/>
                <w:color w:val="auto"/>
                <w:sz w:val="22"/>
                <w:szCs w:val="22"/>
              </w:rPr>
              <w:t>，</w:t>
            </w:r>
            <w:r>
              <w:rPr>
                <w:rFonts w:ascii="宋体" w:hAnsi="宋体"/>
                <w:color w:val="auto"/>
                <w:sz w:val="22"/>
                <w:szCs w:val="22"/>
              </w:rPr>
              <w:t>按规则自动生成经费及订购套数</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支持中央知识库书目数据订购。</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对订购记录状态进行标记，可显示当前记录的未发订、已发订、待审核、审核未通过等状态</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实时获取中国银行远期汇率，验收时人民币和外币价格</w:t>
            </w:r>
            <w:r>
              <w:rPr>
                <w:rFonts w:hint="eastAsia" w:ascii="宋体" w:hAnsi="宋体"/>
                <w:color w:val="auto"/>
                <w:sz w:val="22"/>
                <w:szCs w:val="22"/>
              </w:rPr>
              <w:t>可</w:t>
            </w:r>
            <w:r>
              <w:rPr>
                <w:rFonts w:ascii="宋体" w:hAnsi="宋体"/>
                <w:color w:val="auto"/>
                <w:sz w:val="22"/>
                <w:szCs w:val="22"/>
              </w:rPr>
              <w:t>换算</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支持各书商多个不同批次数据同时批量查重、</w:t>
            </w:r>
            <w:r>
              <w:rPr>
                <w:rFonts w:hint="eastAsia" w:ascii="宋体" w:hAnsi="宋体"/>
                <w:color w:val="auto"/>
                <w:sz w:val="22"/>
                <w:szCs w:val="22"/>
              </w:rPr>
              <w:t>批量删除，</w:t>
            </w:r>
            <w:r>
              <w:rPr>
                <w:rFonts w:ascii="宋体" w:hAnsi="宋体"/>
                <w:color w:val="auto"/>
                <w:sz w:val="22"/>
                <w:szCs w:val="22"/>
              </w:rPr>
              <w:t>批量订购</w:t>
            </w:r>
            <w:r>
              <w:rPr>
                <w:rFonts w:hint="eastAsia" w:ascii="宋体" w:hAnsi="宋体"/>
                <w:color w:val="auto"/>
                <w:sz w:val="22"/>
                <w:szCs w:val="22"/>
              </w:rPr>
              <w:t>等处理工作</w:t>
            </w:r>
            <w:r>
              <w:rPr>
                <w:rFonts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灵活的</w:t>
            </w:r>
            <w:r>
              <w:rPr>
                <w:rFonts w:ascii="宋体" w:hAnsi="宋体"/>
                <w:color w:val="auto"/>
                <w:sz w:val="22"/>
                <w:szCs w:val="22"/>
              </w:rPr>
              <w:t>黑名单管理</w:t>
            </w:r>
            <w:r>
              <w:rPr>
                <w:rFonts w:hint="eastAsia" w:ascii="宋体" w:hAnsi="宋体"/>
                <w:color w:val="auto"/>
                <w:sz w:val="22"/>
                <w:szCs w:val="22"/>
              </w:rPr>
              <w:t>，支持编辑</w:t>
            </w:r>
            <w:r>
              <w:rPr>
                <w:rFonts w:ascii="宋体" w:hAnsi="宋体"/>
                <w:color w:val="auto"/>
                <w:sz w:val="22"/>
                <w:szCs w:val="22"/>
              </w:rPr>
              <w:t>及删除</w:t>
            </w:r>
            <w:r>
              <w:rPr>
                <w:rFonts w:hint="eastAsia" w:ascii="宋体" w:hAnsi="宋体"/>
                <w:color w:val="auto"/>
                <w:sz w:val="22"/>
                <w:szCs w:val="22"/>
              </w:rPr>
              <w:t>黑名单</w:t>
            </w:r>
            <w:r>
              <w:rPr>
                <w:rFonts w:ascii="宋体" w:hAnsi="宋体"/>
                <w:color w:val="auto"/>
                <w:sz w:val="22"/>
                <w:szCs w:val="22"/>
              </w:rPr>
              <w:t>。导入书商的预订数据</w:t>
            </w:r>
            <w:r>
              <w:rPr>
                <w:rFonts w:hint="eastAsia" w:ascii="宋体" w:hAnsi="宋体"/>
                <w:color w:val="auto"/>
                <w:sz w:val="22"/>
                <w:szCs w:val="22"/>
              </w:rPr>
              <w:t>时系统将</w:t>
            </w:r>
            <w:r>
              <w:rPr>
                <w:rFonts w:ascii="宋体" w:hAnsi="宋体"/>
                <w:color w:val="auto"/>
                <w:sz w:val="22"/>
                <w:szCs w:val="22"/>
              </w:rPr>
              <w:t>自动筛选剔除</w:t>
            </w:r>
            <w:r>
              <w:rPr>
                <w:rFonts w:hint="eastAsia" w:ascii="宋体" w:hAnsi="宋体"/>
                <w:color w:val="auto"/>
                <w:sz w:val="22"/>
                <w:szCs w:val="22"/>
              </w:rPr>
              <w:t>黑名单</w:t>
            </w:r>
            <w:r>
              <w:rPr>
                <w:rFonts w:ascii="宋体" w:hAnsi="宋体"/>
                <w:color w:val="auto"/>
                <w:sz w:val="22"/>
                <w:szCs w:val="22"/>
              </w:rPr>
              <w:t>的数据，可选择开启或关闭显示黑名单</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提供标记已阅功能</w:t>
            </w:r>
            <w:r>
              <w:rPr>
                <w:rFonts w:hint="eastAsia" w:ascii="宋体" w:hAnsi="宋体"/>
                <w:color w:val="auto"/>
                <w:sz w:val="22"/>
                <w:szCs w:val="22"/>
              </w:rPr>
              <w:t>，</w:t>
            </w:r>
            <w:r>
              <w:rPr>
                <w:rFonts w:ascii="宋体" w:hAnsi="宋体"/>
                <w:color w:val="auto"/>
                <w:sz w:val="22"/>
                <w:szCs w:val="22"/>
              </w:rPr>
              <w:t>可单个标记或批量标记</w:t>
            </w:r>
            <w:r>
              <w:rPr>
                <w:rFonts w:hint="eastAsia" w:ascii="宋体" w:hAnsi="宋体"/>
                <w:color w:val="auto"/>
                <w:sz w:val="22"/>
                <w:szCs w:val="22"/>
              </w:rPr>
              <w:t>，并提供标记批量筛选功能，</w:t>
            </w:r>
            <w:r>
              <w:rPr>
                <w:rFonts w:ascii="宋体" w:hAnsi="宋体"/>
                <w:color w:val="auto"/>
                <w:sz w:val="22"/>
                <w:szCs w:val="22"/>
              </w:rPr>
              <w:t>方便工采购</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实现批量订购、批量查重、批量关联订购、批量筛选，支持订单的独有采购或共享采购，以及经费的独有或共享。</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支持总馆与院系分馆间协作采购</w:t>
            </w:r>
            <w:r>
              <w:rPr>
                <w:rFonts w:hint="eastAsia" w:ascii="宋体" w:hAnsi="宋体"/>
                <w:color w:val="auto"/>
                <w:sz w:val="22"/>
                <w:szCs w:val="22"/>
              </w:rPr>
              <w:t>，</w:t>
            </w:r>
            <w:r>
              <w:rPr>
                <w:rFonts w:ascii="宋体" w:hAnsi="宋体"/>
                <w:color w:val="auto"/>
                <w:sz w:val="22"/>
                <w:szCs w:val="22"/>
              </w:rPr>
              <w:t>自由组配经费</w:t>
            </w:r>
            <w:r>
              <w:rPr>
                <w:rFonts w:hint="eastAsia" w:ascii="宋体" w:hAnsi="宋体"/>
                <w:color w:val="auto"/>
                <w:sz w:val="22"/>
                <w:szCs w:val="22"/>
              </w:rPr>
              <w:t>，经费可</w:t>
            </w:r>
            <w:r>
              <w:rPr>
                <w:rFonts w:ascii="宋体" w:hAnsi="宋体"/>
                <w:color w:val="auto"/>
                <w:sz w:val="22"/>
                <w:szCs w:val="22"/>
              </w:rPr>
              <w:t>独有或共享</w:t>
            </w:r>
            <w:r>
              <w:rPr>
                <w:rFonts w:hint="eastAsia" w:ascii="宋体" w:hAnsi="宋体"/>
                <w:color w:val="auto"/>
                <w:sz w:val="22"/>
                <w:szCs w:val="22"/>
              </w:rPr>
              <w:t>，</w:t>
            </w:r>
            <w:r>
              <w:rPr>
                <w:rFonts w:ascii="宋体" w:hAnsi="宋体"/>
                <w:color w:val="auto"/>
                <w:sz w:val="22"/>
                <w:szCs w:val="22"/>
              </w:rPr>
              <w:t>并</w:t>
            </w:r>
            <w:r>
              <w:rPr>
                <w:rFonts w:hint="eastAsia" w:ascii="宋体" w:hAnsi="宋体"/>
                <w:color w:val="auto"/>
                <w:sz w:val="22"/>
                <w:szCs w:val="22"/>
              </w:rPr>
              <w:t>且</w:t>
            </w:r>
            <w:r>
              <w:rPr>
                <w:rFonts w:ascii="宋体" w:hAnsi="宋体"/>
                <w:color w:val="auto"/>
                <w:sz w:val="22"/>
                <w:szCs w:val="22"/>
              </w:rPr>
              <w:t>各馆经费的使用额度能得到有效控制</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实现</w:t>
            </w:r>
            <w:r>
              <w:rPr>
                <w:rFonts w:ascii="宋体" w:hAnsi="宋体"/>
                <w:color w:val="auto"/>
                <w:sz w:val="22"/>
                <w:szCs w:val="22"/>
              </w:rPr>
              <w:t>对采购单荐购和读者自由荐购记录的批量操作</w:t>
            </w:r>
            <w:r>
              <w:rPr>
                <w:rFonts w:hint="eastAsia" w:ascii="宋体" w:hAnsi="宋体"/>
                <w:color w:val="auto"/>
                <w:sz w:val="22"/>
                <w:szCs w:val="22"/>
              </w:rPr>
              <w:t>，能够</w:t>
            </w:r>
            <w:r>
              <w:rPr>
                <w:rFonts w:ascii="宋体" w:hAnsi="宋体"/>
                <w:color w:val="auto"/>
                <w:sz w:val="22"/>
                <w:szCs w:val="22"/>
              </w:rPr>
              <w:t>批量查重</w:t>
            </w:r>
            <w:r>
              <w:rPr>
                <w:rFonts w:hint="eastAsia" w:ascii="宋体" w:hAnsi="宋体"/>
                <w:color w:val="auto"/>
                <w:sz w:val="22"/>
                <w:szCs w:val="22"/>
              </w:rPr>
              <w:t>，</w:t>
            </w:r>
            <w:r>
              <w:rPr>
                <w:rFonts w:ascii="宋体" w:hAnsi="宋体"/>
                <w:color w:val="auto"/>
                <w:sz w:val="22"/>
                <w:szCs w:val="22"/>
              </w:rPr>
              <w:t>展示荐购</w:t>
            </w:r>
            <w:r>
              <w:rPr>
                <w:rFonts w:hint="eastAsia" w:ascii="宋体" w:hAnsi="宋体"/>
                <w:color w:val="auto"/>
                <w:sz w:val="22"/>
                <w:szCs w:val="22"/>
              </w:rPr>
              <w:t>记录</w:t>
            </w:r>
            <w:r>
              <w:rPr>
                <w:rFonts w:ascii="宋体" w:hAnsi="宋体"/>
                <w:color w:val="auto"/>
                <w:sz w:val="22"/>
                <w:szCs w:val="22"/>
              </w:rPr>
              <w:t>的查重信息</w:t>
            </w:r>
            <w:r>
              <w:rPr>
                <w:rFonts w:hint="eastAsia" w:ascii="宋体" w:hAnsi="宋体"/>
                <w:color w:val="auto"/>
                <w:sz w:val="22"/>
                <w:szCs w:val="22"/>
              </w:rPr>
              <w:t>以及</w:t>
            </w:r>
            <w:r>
              <w:rPr>
                <w:rFonts w:ascii="宋体" w:hAnsi="宋体"/>
                <w:color w:val="auto"/>
                <w:sz w:val="22"/>
                <w:szCs w:val="22"/>
              </w:rPr>
              <w:t>详细信息</w:t>
            </w:r>
            <w:r>
              <w:rPr>
                <w:rFonts w:hint="eastAsia" w:ascii="宋体" w:hAnsi="宋体"/>
                <w:color w:val="auto"/>
                <w:sz w:val="22"/>
                <w:szCs w:val="22"/>
              </w:rPr>
              <w:t>。</w:t>
            </w:r>
            <w:r>
              <w:rPr>
                <w:rFonts w:ascii="宋体" w:hAnsi="宋体"/>
                <w:color w:val="auto"/>
                <w:sz w:val="22"/>
                <w:szCs w:val="22"/>
              </w:rPr>
              <w:t>可</w:t>
            </w:r>
            <w:r>
              <w:rPr>
                <w:rFonts w:hint="eastAsia" w:ascii="宋体" w:hAnsi="宋体"/>
                <w:color w:val="auto"/>
                <w:sz w:val="22"/>
                <w:szCs w:val="22"/>
              </w:rPr>
              <w:t>将</w:t>
            </w:r>
            <w:r>
              <w:rPr>
                <w:rFonts w:ascii="宋体" w:hAnsi="宋体"/>
                <w:color w:val="auto"/>
                <w:sz w:val="22"/>
                <w:szCs w:val="22"/>
              </w:rPr>
              <w:t>荐购记录批量加入订购</w:t>
            </w:r>
            <w:r>
              <w:rPr>
                <w:rFonts w:hint="eastAsia" w:ascii="宋体" w:hAnsi="宋体"/>
                <w:color w:val="auto"/>
                <w:sz w:val="22"/>
                <w:szCs w:val="22"/>
              </w:rPr>
              <w:t>，批量荐购回复，亦可</w:t>
            </w:r>
            <w:r>
              <w:rPr>
                <w:rFonts w:ascii="宋体" w:hAnsi="宋体"/>
                <w:color w:val="auto"/>
                <w:sz w:val="22"/>
                <w:szCs w:val="22"/>
              </w:rPr>
              <w:t>自定义荐购回复内容。</w:t>
            </w:r>
            <w:r>
              <w:rPr>
                <w:rFonts w:hint="eastAsia" w:ascii="宋体" w:hAnsi="宋体"/>
                <w:color w:val="auto"/>
                <w:sz w:val="22"/>
                <w:szCs w:val="22"/>
              </w:rPr>
              <w:t>被采纳订购的荐购记录，系统可自动通过EMAIL或短信自动反馈读者荐购图书处理情况，支持</w:t>
            </w:r>
            <w:r>
              <w:rPr>
                <w:rFonts w:ascii="宋体" w:hAnsi="宋体"/>
                <w:color w:val="auto"/>
                <w:sz w:val="22"/>
                <w:szCs w:val="22"/>
              </w:rPr>
              <w:t>opac上的已荐购图书展示，荐购查重功能。</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针对荐购重复数据</w:t>
            </w:r>
            <w:r>
              <w:rPr>
                <w:rFonts w:hint="eastAsia" w:ascii="宋体" w:hAnsi="宋体"/>
                <w:color w:val="auto"/>
                <w:sz w:val="22"/>
                <w:szCs w:val="22"/>
              </w:rPr>
              <w:t>，提供</w:t>
            </w:r>
            <w:r>
              <w:rPr>
                <w:rFonts w:ascii="宋体" w:hAnsi="宋体"/>
                <w:color w:val="auto"/>
                <w:sz w:val="22"/>
                <w:szCs w:val="22"/>
              </w:rPr>
              <w:t>关联订购和关联元数据</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具备</w:t>
            </w:r>
            <w:r>
              <w:rPr>
                <w:rFonts w:ascii="宋体" w:hAnsi="宋体"/>
                <w:color w:val="auto"/>
                <w:sz w:val="22"/>
                <w:szCs w:val="22"/>
              </w:rPr>
              <w:t>多样化的采购模式</w:t>
            </w:r>
            <w:r>
              <w:rPr>
                <w:rFonts w:hint="eastAsia" w:ascii="宋体" w:hAnsi="宋体"/>
                <w:color w:val="auto"/>
                <w:sz w:val="22"/>
                <w:szCs w:val="22"/>
              </w:rPr>
              <w:t>：</w:t>
            </w:r>
            <w:r>
              <w:rPr>
                <w:rFonts w:ascii="宋体" w:hAnsi="宋体"/>
                <w:color w:val="auto"/>
                <w:sz w:val="22"/>
                <w:szCs w:val="22"/>
              </w:rPr>
              <w:t>统</w:t>
            </w:r>
            <w:r>
              <w:rPr>
                <w:rFonts w:hint="eastAsia" w:ascii="宋体" w:hAnsi="宋体"/>
                <w:color w:val="auto"/>
                <w:sz w:val="22"/>
                <w:szCs w:val="22"/>
              </w:rPr>
              <w:t>采</w:t>
            </w:r>
            <w:r>
              <w:rPr>
                <w:rFonts w:ascii="宋体" w:hAnsi="宋体"/>
                <w:color w:val="auto"/>
                <w:sz w:val="22"/>
                <w:szCs w:val="22"/>
              </w:rPr>
              <w:t>统</w:t>
            </w:r>
            <w:r>
              <w:rPr>
                <w:rFonts w:hint="eastAsia" w:ascii="宋体" w:hAnsi="宋体"/>
                <w:color w:val="auto"/>
                <w:sz w:val="22"/>
                <w:szCs w:val="22"/>
              </w:rPr>
              <w:t>编、</w:t>
            </w:r>
            <w:r>
              <w:rPr>
                <w:rFonts w:ascii="宋体" w:hAnsi="宋体"/>
                <w:color w:val="auto"/>
                <w:sz w:val="22"/>
                <w:szCs w:val="22"/>
              </w:rPr>
              <w:t>统</w:t>
            </w:r>
            <w:r>
              <w:rPr>
                <w:rFonts w:hint="eastAsia" w:ascii="宋体" w:hAnsi="宋体"/>
                <w:color w:val="auto"/>
                <w:sz w:val="22"/>
                <w:szCs w:val="22"/>
              </w:rPr>
              <w:t>采</w:t>
            </w:r>
            <w:r>
              <w:rPr>
                <w:rFonts w:ascii="宋体" w:hAnsi="宋体"/>
                <w:color w:val="auto"/>
                <w:sz w:val="22"/>
                <w:szCs w:val="22"/>
              </w:rPr>
              <w:t>分编</w:t>
            </w:r>
            <w:r>
              <w:rPr>
                <w:rFonts w:hint="eastAsia" w:ascii="宋体" w:hAnsi="宋体"/>
                <w:color w:val="auto"/>
                <w:sz w:val="22"/>
                <w:szCs w:val="22"/>
              </w:rPr>
              <w:t>、</w:t>
            </w:r>
            <w:r>
              <w:rPr>
                <w:rFonts w:ascii="宋体" w:hAnsi="宋体"/>
                <w:color w:val="auto"/>
                <w:sz w:val="22"/>
                <w:szCs w:val="22"/>
              </w:rPr>
              <w:t>分</w:t>
            </w:r>
            <w:r>
              <w:rPr>
                <w:rFonts w:hint="eastAsia" w:ascii="宋体" w:hAnsi="宋体"/>
                <w:color w:val="auto"/>
                <w:sz w:val="22"/>
                <w:szCs w:val="22"/>
              </w:rPr>
              <w:t>采</w:t>
            </w:r>
            <w:r>
              <w:rPr>
                <w:rFonts w:ascii="宋体" w:hAnsi="宋体"/>
                <w:color w:val="auto"/>
                <w:sz w:val="22"/>
                <w:szCs w:val="22"/>
              </w:rPr>
              <w:t>分编等</w:t>
            </w:r>
            <w:r>
              <w:rPr>
                <w:rFonts w:hint="eastAsia" w:ascii="宋体" w:hAnsi="宋体"/>
                <w:color w:val="auto"/>
                <w:sz w:val="22"/>
                <w:szCs w:val="22"/>
              </w:rPr>
              <w:t>，支持总签、分签、不签多种签收方式。</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图书验收支持自动分配财产号、条码号，并支持设置馆藏地分配规则，验收时自动根据规则复本分配馆藏地。</w:t>
            </w:r>
          </w:p>
          <w:p>
            <w:pPr>
              <w:pStyle w:val="20"/>
              <w:numPr>
                <w:ilvl w:val="0"/>
                <w:numId w:val="10"/>
              </w:numPr>
              <w:spacing w:line="276" w:lineRule="auto"/>
              <w:ind w:firstLineChars="0"/>
              <w:rPr>
                <w:rFonts w:ascii="宋体" w:hAnsi="宋体"/>
                <w:color w:val="auto"/>
                <w:sz w:val="22"/>
                <w:szCs w:val="22"/>
              </w:rPr>
            </w:pPr>
            <w:r>
              <w:rPr>
                <w:rFonts w:hint="eastAsia" w:ascii="宋体" w:hAnsi="宋体"/>
                <w:color w:val="auto"/>
                <w:sz w:val="22"/>
                <w:szCs w:val="22"/>
              </w:rPr>
              <w:t>支持书商提供的标准MARC和Excel格式的数据文件导入</w:t>
            </w:r>
            <w:r>
              <w:rPr>
                <w:rFonts w:ascii="宋体" w:hAnsi="宋体"/>
                <w:color w:val="auto"/>
                <w:sz w:val="22"/>
                <w:szCs w:val="22"/>
              </w:rPr>
              <w:t>，支持GBK、UNICODE、UTF-8编码格式marc，全面兼容小语种，并支持币种和汇率设置</w:t>
            </w:r>
            <w:r>
              <w:rPr>
                <w:rFonts w:hint="eastAsia" w:ascii="宋体" w:hAnsi="宋体"/>
                <w:color w:val="auto"/>
                <w:sz w:val="22"/>
                <w:szCs w:val="22"/>
              </w:rPr>
              <w:t>。</w:t>
            </w:r>
          </w:p>
          <w:p>
            <w:pPr>
              <w:pStyle w:val="20"/>
              <w:numPr>
                <w:ilvl w:val="0"/>
                <w:numId w:val="10"/>
              </w:numPr>
              <w:spacing w:line="276" w:lineRule="auto"/>
              <w:ind w:firstLineChars="0"/>
              <w:rPr>
                <w:rFonts w:ascii="宋体" w:hAnsi="宋体"/>
                <w:color w:val="auto"/>
                <w:sz w:val="22"/>
                <w:szCs w:val="22"/>
              </w:rPr>
            </w:pPr>
            <w:r>
              <w:rPr>
                <w:rFonts w:ascii="宋体" w:hAnsi="宋体"/>
                <w:color w:val="auto"/>
                <w:sz w:val="22"/>
                <w:szCs w:val="22"/>
              </w:rPr>
              <w:t>支持资源数据依托</w:t>
            </w:r>
            <w:r>
              <w:rPr>
                <w:rFonts w:hint="eastAsia" w:ascii="宋体" w:hAnsi="宋体"/>
                <w:color w:val="auto"/>
                <w:sz w:val="22"/>
                <w:szCs w:val="22"/>
              </w:rPr>
              <w:t>中央知识库数据支撑，可挂接元数据到中央知识库。挂接中央知识库数据可自动更新，中央知识库内数据发生变化，本机构元数据自动更新成最新数据。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3</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资源管理</w:t>
            </w:r>
          </w:p>
        </w:tc>
        <w:tc>
          <w:tcPr>
            <w:tcW w:w="3357" w:type="pct"/>
          </w:tcPr>
          <w:p>
            <w:pPr>
              <w:pStyle w:val="20"/>
              <w:numPr>
                <w:ilvl w:val="0"/>
                <w:numId w:val="11"/>
              </w:numPr>
              <w:spacing w:line="276" w:lineRule="auto"/>
              <w:ind w:firstLineChars="0"/>
              <w:rPr>
                <w:rFonts w:ascii="宋体" w:hAnsi="宋体"/>
                <w:color w:val="auto"/>
                <w:sz w:val="22"/>
                <w:szCs w:val="22"/>
              </w:rPr>
            </w:pPr>
            <w:r>
              <w:rPr>
                <w:rFonts w:hint="eastAsia" w:ascii="宋体" w:hAnsi="宋体"/>
                <w:color w:val="auto"/>
                <w:sz w:val="22"/>
                <w:szCs w:val="22"/>
              </w:rPr>
              <w:t>纸质、电子、数字三种资源元数据进行统一管理，同时支持纸质、电子、数字多资源的馆藏管理。</w:t>
            </w:r>
          </w:p>
          <w:p>
            <w:pPr>
              <w:pStyle w:val="20"/>
              <w:numPr>
                <w:ilvl w:val="0"/>
                <w:numId w:val="11"/>
              </w:numPr>
              <w:spacing w:line="276" w:lineRule="auto"/>
              <w:ind w:firstLineChars="0"/>
              <w:rPr>
                <w:rFonts w:ascii="宋体" w:hAnsi="宋体"/>
                <w:color w:val="auto"/>
                <w:sz w:val="22"/>
                <w:szCs w:val="22"/>
              </w:rPr>
            </w:pPr>
            <w:r>
              <w:rPr>
                <w:rFonts w:hint="eastAsia" w:ascii="宋体" w:hAnsi="宋体"/>
                <w:color w:val="auto"/>
                <w:sz w:val="22"/>
                <w:szCs w:val="22"/>
              </w:rPr>
              <w:t>平台拥有中央知识库做支撑，能够实现本馆元数据与中央知识库的挂接。</w:t>
            </w:r>
          </w:p>
          <w:p>
            <w:pPr>
              <w:pStyle w:val="20"/>
              <w:numPr>
                <w:ilvl w:val="0"/>
                <w:numId w:val="11"/>
              </w:numPr>
              <w:spacing w:line="276" w:lineRule="auto"/>
              <w:ind w:firstLineChars="0"/>
              <w:rPr>
                <w:rFonts w:ascii="宋体" w:hAnsi="宋体"/>
                <w:color w:val="auto"/>
                <w:sz w:val="22"/>
                <w:szCs w:val="22"/>
              </w:rPr>
            </w:pPr>
            <w:r>
              <w:rPr>
                <w:rFonts w:hint="eastAsia" w:ascii="宋体" w:hAnsi="宋体"/>
                <w:color w:val="auto"/>
                <w:sz w:val="22"/>
                <w:szCs w:val="22"/>
              </w:rPr>
              <w:t>实现</w:t>
            </w:r>
            <w:r>
              <w:rPr>
                <w:rFonts w:ascii="宋体" w:hAnsi="宋体"/>
                <w:color w:val="auto"/>
                <w:sz w:val="22"/>
                <w:szCs w:val="22"/>
              </w:rPr>
              <w:t>种次号库及主题词库的维护</w:t>
            </w:r>
            <w:r>
              <w:rPr>
                <w:rFonts w:hint="eastAsia" w:ascii="宋体" w:hAnsi="宋体"/>
                <w:color w:val="auto"/>
                <w:sz w:val="22"/>
                <w:szCs w:val="22"/>
              </w:rPr>
              <w:t>。同时支持已生成种次号的重组。</w:t>
            </w:r>
          </w:p>
          <w:p>
            <w:pPr>
              <w:pStyle w:val="20"/>
              <w:numPr>
                <w:ilvl w:val="0"/>
                <w:numId w:val="11"/>
              </w:numPr>
              <w:spacing w:line="276" w:lineRule="auto"/>
              <w:ind w:firstLineChars="0"/>
              <w:rPr>
                <w:rFonts w:ascii="宋体" w:hAnsi="宋体"/>
                <w:color w:val="auto"/>
                <w:sz w:val="22"/>
                <w:szCs w:val="22"/>
              </w:rPr>
            </w:pPr>
            <w:r>
              <w:rPr>
                <w:rFonts w:hint="eastAsia" w:ascii="宋体" w:hAnsi="宋体"/>
                <w:color w:val="auto"/>
                <w:sz w:val="22"/>
                <w:szCs w:val="22"/>
              </w:rPr>
              <w:t>支持数值比对和定长比对的</w:t>
            </w:r>
            <w:r>
              <w:rPr>
                <w:rFonts w:ascii="宋体" w:hAnsi="宋体"/>
                <w:color w:val="auto"/>
                <w:sz w:val="22"/>
                <w:szCs w:val="22"/>
              </w:rPr>
              <w:t>条码号</w:t>
            </w:r>
            <w:r>
              <w:rPr>
                <w:rFonts w:hint="eastAsia" w:ascii="宋体" w:hAnsi="宋体"/>
                <w:color w:val="auto"/>
                <w:sz w:val="22"/>
                <w:szCs w:val="22"/>
              </w:rPr>
              <w:t>或</w:t>
            </w:r>
            <w:r>
              <w:rPr>
                <w:rFonts w:ascii="宋体" w:hAnsi="宋体"/>
                <w:color w:val="auto"/>
                <w:sz w:val="22"/>
                <w:szCs w:val="22"/>
              </w:rPr>
              <w:t>财产号的缺号查询</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hint="eastAsia" w:ascii="宋体" w:hAnsi="宋体"/>
                <w:color w:val="auto"/>
                <w:sz w:val="22"/>
                <w:szCs w:val="22"/>
              </w:rPr>
              <w:t>支持电子资源的一次性买断或订阅采购模式。</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w:t>
            </w:r>
            <w:r>
              <w:rPr>
                <w:rFonts w:hint="eastAsia" w:ascii="宋体" w:hAnsi="宋体"/>
                <w:color w:val="auto"/>
                <w:sz w:val="22"/>
                <w:szCs w:val="22"/>
              </w:rPr>
              <w:t>选择</w:t>
            </w:r>
            <w:r>
              <w:rPr>
                <w:rFonts w:ascii="宋体" w:hAnsi="宋体"/>
                <w:color w:val="auto"/>
                <w:sz w:val="22"/>
                <w:szCs w:val="22"/>
              </w:rPr>
              <w:t>采购单位为数据包</w:t>
            </w:r>
            <w:r>
              <w:rPr>
                <w:rFonts w:hint="eastAsia" w:ascii="宋体" w:hAnsi="宋体"/>
                <w:color w:val="auto"/>
                <w:sz w:val="22"/>
                <w:szCs w:val="22"/>
              </w:rPr>
              <w:t>（子库）订购模式，支持多数据包采购，支持发订后打印资源量清单，支持</w:t>
            </w:r>
            <w:r>
              <w:rPr>
                <w:rFonts w:ascii="宋体" w:hAnsi="宋体"/>
                <w:color w:val="auto"/>
                <w:sz w:val="22"/>
                <w:szCs w:val="22"/>
              </w:rPr>
              <w:t>直接订购与打包发订</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支持行列模式添加新资源</w:t>
            </w:r>
            <w:r>
              <w:rPr>
                <w:rFonts w:hint="eastAsia" w:ascii="宋体" w:hAnsi="宋体"/>
                <w:color w:val="auto"/>
                <w:sz w:val="22"/>
                <w:szCs w:val="22"/>
              </w:rPr>
              <w:t>，</w:t>
            </w:r>
            <w:r>
              <w:rPr>
                <w:rFonts w:ascii="宋体" w:hAnsi="宋体"/>
                <w:color w:val="auto"/>
                <w:sz w:val="22"/>
                <w:szCs w:val="22"/>
              </w:rPr>
              <w:t>可直接添加电子馆藏</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hint="eastAsia" w:ascii="宋体" w:hAnsi="宋体"/>
                <w:color w:val="auto"/>
                <w:sz w:val="22"/>
                <w:szCs w:val="22"/>
              </w:rPr>
              <w:t>支持电子资源的试用管理，对试用的数据库提供用户评价与专家评审功能。</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支持记录数据库采购时</w:t>
            </w:r>
            <w:r>
              <w:rPr>
                <w:rFonts w:hint="eastAsia" w:ascii="宋体" w:hAnsi="宋体"/>
                <w:color w:val="auto"/>
                <w:sz w:val="22"/>
                <w:szCs w:val="22"/>
              </w:rPr>
              <w:t>，</w:t>
            </w:r>
            <w:r>
              <w:rPr>
                <w:rFonts w:ascii="宋体" w:hAnsi="宋体"/>
                <w:color w:val="auto"/>
                <w:sz w:val="22"/>
                <w:szCs w:val="22"/>
              </w:rPr>
              <w:t>外币价</w:t>
            </w:r>
            <w:r>
              <w:rPr>
                <w:rFonts w:hint="eastAsia" w:ascii="宋体" w:hAnsi="宋体"/>
                <w:color w:val="auto"/>
                <w:sz w:val="22"/>
                <w:szCs w:val="22"/>
              </w:rPr>
              <w:t>、</w:t>
            </w:r>
            <w:r>
              <w:rPr>
                <w:rFonts w:ascii="宋体" w:hAnsi="宋体"/>
                <w:color w:val="auto"/>
                <w:sz w:val="22"/>
                <w:szCs w:val="22"/>
              </w:rPr>
              <w:t>汇率</w:t>
            </w:r>
            <w:r>
              <w:rPr>
                <w:rFonts w:hint="eastAsia" w:ascii="宋体" w:hAnsi="宋体"/>
                <w:color w:val="auto"/>
                <w:sz w:val="22"/>
                <w:szCs w:val="22"/>
              </w:rPr>
              <w:t>、</w:t>
            </w:r>
            <w:r>
              <w:rPr>
                <w:rFonts w:ascii="宋体" w:hAnsi="宋体"/>
                <w:color w:val="auto"/>
                <w:sz w:val="22"/>
                <w:szCs w:val="22"/>
              </w:rPr>
              <w:t>手续费转化人民币价格</w:t>
            </w:r>
            <w:r>
              <w:rPr>
                <w:rFonts w:hint="eastAsia" w:ascii="宋体" w:hAnsi="宋体"/>
                <w:color w:val="auto"/>
                <w:sz w:val="22"/>
                <w:szCs w:val="22"/>
              </w:rPr>
              <w:t>、</w:t>
            </w:r>
            <w:r>
              <w:rPr>
                <w:rFonts w:ascii="宋体" w:hAnsi="宋体"/>
                <w:color w:val="auto"/>
                <w:sz w:val="22"/>
                <w:szCs w:val="22"/>
              </w:rPr>
              <w:t>购买使用期限</w:t>
            </w:r>
            <w:r>
              <w:rPr>
                <w:rFonts w:hint="eastAsia" w:ascii="宋体" w:hAnsi="宋体"/>
                <w:color w:val="auto"/>
                <w:sz w:val="22"/>
                <w:szCs w:val="22"/>
              </w:rPr>
              <w:t>、购买</w:t>
            </w:r>
            <w:r>
              <w:rPr>
                <w:rFonts w:ascii="宋体" w:hAnsi="宋体"/>
                <w:color w:val="auto"/>
                <w:sz w:val="22"/>
                <w:szCs w:val="22"/>
              </w:rPr>
              <w:t>合同</w:t>
            </w:r>
            <w:r>
              <w:rPr>
                <w:rFonts w:hint="eastAsia" w:ascii="宋体" w:hAnsi="宋体"/>
                <w:color w:val="auto"/>
                <w:sz w:val="22"/>
                <w:szCs w:val="22"/>
              </w:rPr>
              <w:t>、</w:t>
            </w:r>
            <w:r>
              <w:rPr>
                <w:rFonts w:ascii="宋体" w:hAnsi="宋体"/>
                <w:color w:val="auto"/>
                <w:sz w:val="22"/>
                <w:szCs w:val="22"/>
              </w:rPr>
              <w:t>付款方式</w:t>
            </w:r>
            <w:r>
              <w:rPr>
                <w:rFonts w:hint="eastAsia" w:ascii="宋体" w:hAnsi="宋体"/>
                <w:color w:val="auto"/>
                <w:sz w:val="22"/>
                <w:szCs w:val="22"/>
              </w:rPr>
              <w:t>、</w:t>
            </w:r>
            <w:r>
              <w:rPr>
                <w:rFonts w:ascii="宋体" w:hAnsi="宋体"/>
                <w:color w:val="auto"/>
                <w:sz w:val="22"/>
                <w:szCs w:val="22"/>
              </w:rPr>
              <w:t>发票记录</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支持对数据库的直接激活使用</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支持多种资源数据导入功能</w:t>
            </w:r>
            <w:r>
              <w:rPr>
                <w:rFonts w:hint="eastAsia" w:ascii="宋体" w:hAnsi="宋体"/>
                <w:color w:val="auto"/>
                <w:sz w:val="22"/>
                <w:szCs w:val="22"/>
              </w:rPr>
              <w:t>，1）中央知识库自动导入功能；2）手动检索导入功能；3）文件导入功能。</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支持新增</w:t>
            </w:r>
            <w:r>
              <w:rPr>
                <w:rFonts w:hint="eastAsia" w:ascii="宋体" w:hAnsi="宋体"/>
                <w:color w:val="auto"/>
                <w:sz w:val="22"/>
                <w:szCs w:val="22"/>
              </w:rPr>
              <w:t>、</w:t>
            </w:r>
            <w:r>
              <w:rPr>
                <w:rFonts w:ascii="宋体" w:hAnsi="宋体"/>
                <w:color w:val="auto"/>
                <w:sz w:val="22"/>
                <w:szCs w:val="22"/>
              </w:rPr>
              <w:t>修改</w:t>
            </w:r>
            <w:r>
              <w:rPr>
                <w:rFonts w:hint="eastAsia" w:ascii="宋体" w:hAnsi="宋体"/>
                <w:color w:val="auto"/>
                <w:sz w:val="22"/>
                <w:szCs w:val="22"/>
              </w:rPr>
              <w:t>、</w:t>
            </w:r>
            <w:r>
              <w:rPr>
                <w:rFonts w:ascii="宋体" w:hAnsi="宋体"/>
                <w:color w:val="auto"/>
                <w:sz w:val="22"/>
                <w:szCs w:val="22"/>
              </w:rPr>
              <w:t>编辑</w:t>
            </w:r>
            <w:r>
              <w:rPr>
                <w:rFonts w:hint="eastAsia" w:ascii="宋体" w:hAnsi="宋体"/>
                <w:color w:val="auto"/>
                <w:sz w:val="22"/>
                <w:szCs w:val="22"/>
              </w:rPr>
              <w:t>、</w:t>
            </w:r>
            <w:r>
              <w:rPr>
                <w:rFonts w:ascii="宋体" w:hAnsi="宋体"/>
                <w:color w:val="auto"/>
                <w:sz w:val="22"/>
                <w:szCs w:val="22"/>
              </w:rPr>
              <w:t>删除数据库</w:t>
            </w:r>
            <w:r>
              <w:rPr>
                <w:rFonts w:hint="eastAsia" w:ascii="宋体" w:hAnsi="宋体"/>
                <w:color w:val="auto"/>
                <w:sz w:val="22"/>
                <w:szCs w:val="22"/>
              </w:rPr>
              <w:t>、</w:t>
            </w:r>
            <w:r>
              <w:rPr>
                <w:rFonts w:ascii="宋体" w:hAnsi="宋体"/>
                <w:color w:val="auto"/>
                <w:sz w:val="22"/>
                <w:szCs w:val="22"/>
              </w:rPr>
              <w:t>数据包</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支持对同一个数据库</w:t>
            </w:r>
            <w:r>
              <w:rPr>
                <w:rFonts w:hint="eastAsia" w:ascii="宋体" w:hAnsi="宋体"/>
                <w:color w:val="auto"/>
                <w:sz w:val="22"/>
                <w:szCs w:val="22"/>
              </w:rPr>
              <w:t>，连续性采购管理，采用数据包下以服务的模式记录每年的采购资源量。</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支持自动生成电子馆藏</w:t>
            </w:r>
            <w:r>
              <w:rPr>
                <w:rFonts w:hint="eastAsia" w:ascii="宋体" w:hAnsi="宋体"/>
                <w:color w:val="auto"/>
                <w:sz w:val="22"/>
                <w:szCs w:val="22"/>
              </w:rPr>
              <w:t>，</w:t>
            </w:r>
            <w:r>
              <w:rPr>
                <w:rFonts w:ascii="宋体" w:hAnsi="宋体"/>
                <w:color w:val="auto"/>
                <w:sz w:val="22"/>
                <w:szCs w:val="22"/>
              </w:rPr>
              <w:t>电子馆藏</w:t>
            </w:r>
            <w:r>
              <w:rPr>
                <w:rFonts w:hint="eastAsia" w:ascii="宋体" w:hAnsi="宋体"/>
                <w:color w:val="auto"/>
                <w:sz w:val="22"/>
                <w:szCs w:val="22"/>
              </w:rPr>
              <w:t>可</w:t>
            </w:r>
            <w:r>
              <w:rPr>
                <w:rFonts w:ascii="宋体" w:hAnsi="宋体"/>
                <w:color w:val="auto"/>
                <w:sz w:val="22"/>
                <w:szCs w:val="22"/>
              </w:rPr>
              <w:t>自动生成财产号</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对已购数据库</w:t>
            </w:r>
            <w:r>
              <w:rPr>
                <w:rFonts w:hint="eastAsia" w:ascii="宋体" w:hAnsi="宋体"/>
                <w:color w:val="auto"/>
                <w:sz w:val="22"/>
                <w:szCs w:val="22"/>
              </w:rPr>
              <w:t>支持</w:t>
            </w:r>
            <w:r>
              <w:rPr>
                <w:rFonts w:ascii="宋体" w:hAnsi="宋体"/>
                <w:color w:val="auto"/>
                <w:sz w:val="22"/>
                <w:szCs w:val="22"/>
              </w:rPr>
              <w:t>数据统计分析功能</w:t>
            </w:r>
            <w:r>
              <w:rPr>
                <w:rFonts w:hint="eastAsia" w:ascii="宋体" w:hAnsi="宋体"/>
                <w:color w:val="auto"/>
                <w:sz w:val="22"/>
                <w:szCs w:val="22"/>
              </w:rPr>
              <w:t>，包括数据库资源重复率等统计数据。</w:t>
            </w:r>
          </w:p>
          <w:p>
            <w:pPr>
              <w:numPr>
                <w:ilvl w:val="0"/>
                <w:numId w:val="11"/>
              </w:numPr>
              <w:spacing w:line="276" w:lineRule="auto"/>
              <w:jc w:val="left"/>
              <w:rPr>
                <w:rFonts w:ascii="宋体" w:hAnsi="宋体"/>
                <w:color w:val="auto"/>
                <w:sz w:val="22"/>
                <w:szCs w:val="22"/>
              </w:rPr>
            </w:pPr>
            <w:r>
              <w:rPr>
                <w:rFonts w:ascii="宋体" w:hAnsi="宋体"/>
                <w:color w:val="auto"/>
                <w:sz w:val="22"/>
                <w:szCs w:val="22"/>
              </w:rPr>
              <w:t>对已购库可以查看篇目级资源清单</w:t>
            </w:r>
            <w:r>
              <w:rPr>
                <w:rFonts w:hint="eastAsia" w:ascii="宋体" w:hAnsi="宋体"/>
                <w:color w:val="auto"/>
                <w:sz w:val="22"/>
                <w:szCs w:val="22"/>
              </w:rPr>
              <w:t>。</w:t>
            </w:r>
          </w:p>
          <w:p>
            <w:pPr>
              <w:numPr>
                <w:ilvl w:val="0"/>
                <w:numId w:val="11"/>
              </w:numPr>
              <w:spacing w:line="276" w:lineRule="auto"/>
              <w:jc w:val="left"/>
              <w:rPr>
                <w:rFonts w:ascii="宋体" w:hAnsi="宋体"/>
                <w:color w:val="auto"/>
                <w:sz w:val="22"/>
                <w:szCs w:val="22"/>
              </w:rPr>
            </w:pPr>
            <w:r>
              <w:rPr>
                <w:rFonts w:hint="eastAsia" w:ascii="宋体" w:hAnsi="宋体"/>
                <w:color w:val="auto"/>
                <w:sz w:val="22"/>
                <w:szCs w:val="22"/>
              </w:rPr>
              <w:t>支持ONIX-PL格式出版许可证规范，可接受、编辑、管理用户许可，支持手动编辑或者上传许可文件。</w:t>
            </w:r>
          </w:p>
          <w:p>
            <w:pPr>
              <w:widowControl/>
              <w:numPr>
                <w:ilvl w:val="0"/>
                <w:numId w:val="11"/>
              </w:numPr>
              <w:spacing w:line="276" w:lineRule="auto"/>
              <w:jc w:val="left"/>
              <w:textAlignment w:val="center"/>
              <w:rPr>
                <w:rFonts w:ascii="宋体" w:hAnsi="宋体"/>
                <w:color w:val="auto"/>
                <w:sz w:val="22"/>
                <w:szCs w:val="22"/>
              </w:rPr>
            </w:pPr>
            <w:r>
              <w:rPr>
                <w:rFonts w:hint="eastAsia" w:ascii="宋体" w:hAnsi="宋体"/>
                <w:color w:val="auto"/>
                <w:sz w:val="22"/>
                <w:szCs w:val="22"/>
              </w:rPr>
              <w:t>支持电子资源库的配置包括链接解析器的配置（根据资源上的接口确定链接层级）、资源库列表配置（电子馆藏）、设置资源有效期。元数据支持按设置规则分配唯一的电子馆藏号，实现电子资源馆藏化。</w:t>
            </w:r>
          </w:p>
          <w:p>
            <w:pPr>
              <w:widowControl/>
              <w:numPr>
                <w:ilvl w:val="0"/>
                <w:numId w:val="11"/>
              </w:numPr>
              <w:spacing w:line="276" w:lineRule="auto"/>
              <w:jc w:val="left"/>
              <w:textAlignment w:val="center"/>
              <w:rPr>
                <w:rFonts w:ascii="宋体" w:hAnsi="宋体"/>
                <w:color w:val="auto"/>
                <w:sz w:val="22"/>
                <w:szCs w:val="22"/>
              </w:rPr>
            </w:pPr>
            <w:r>
              <w:rPr>
                <w:rFonts w:hint="eastAsia" w:ascii="宋体" w:hAnsi="宋体"/>
                <w:color w:val="auto"/>
                <w:sz w:val="22"/>
                <w:szCs w:val="22"/>
              </w:rPr>
              <w:t>支持图片、文档、音频、视频等多种数字资源管理，支持资源本地或远程存储（数字馆藏）、收割数字资源元数据（OAI-PM）。</w:t>
            </w:r>
          </w:p>
          <w:p>
            <w:pPr>
              <w:widowControl/>
              <w:numPr>
                <w:ilvl w:val="0"/>
                <w:numId w:val="11"/>
              </w:numPr>
              <w:spacing w:line="276" w:lineRule="auto"/>
              <w:jc w:val="left"/>
              <w:textAlignment w:val="center"/>
              <w:rPr>
                <w:rFonts w:ascii="宋体" w:hAnsi="宋体"/>
                <w:color w:val="auto"/>
                <w:sz w:val="22"/>
                <w:szCs w:val="22"/>
              </w:rPr>
            </w:pPr>
            <w:r>
              <w:rPr>
                <w:rFonts w:hint="eastAsia" w:ascii="宋体" w:hAnsi="宋体"/>
                <w:color w:val="auto"/>
                <w:sz w:val="22"/>
                <w:szCs w:val="22"/>
              </w:rPr>
              <w:t>支持配置sushi服务器，自动收割各数据平台Counter报表，检测sushi接收状态。</w:t>
            </w:r>
          </w:p>
          <w:p>
            <w:pPr>
              <w:widowControl/>
              <w:numPr>
                <w:ilvl w:val="0"/>
                <w:numId w:val="11"/>
              </w:numPr>
              <w:spacing w:line="276" w:lineRule="auto"/>
              <w:jc w:val="left"/>
              <w:textAlignment w:val="center"/>
              <w:rPr>
                <w:rFonts w:ascii="宋体" w:hAnsi="宋体"/>
                <w:color w:val="auto"/>
                <w:sz w:val="22"/>
                <w:szCs w:val="22"/>
              </w:rPr>
            </w:pPr>
            <w:r>
              <w:rPr>
                <w:rFonts w:ascii="宋体" w:hAnsi="宋体"/>
                <w:color w:val="auto"/>
                <w:sz w:val="22"/>
                <w:szCs w:val="22"/>
              </w:rPr>
              <w:t>支持挂接或手动添加新增电子资源库</w:t>
            </w:r>
            <w:r>
              <w:rPr>
                <w:rFonts w:hint="eastAsia" w:ascii="宋体" w:hAnsi="宋体"/>
                <w:color w:val="auto"/>
                <w:sz w:val="22"/>
                <w:szCs w:val="22"/>
              </w:rPr>
              <w:t>，</w:t>
            </w:r>
            <w:r>
              <w:rPr>
                <w:rFonts w:ascii="宋体" w:hAnsi="宋体"/>
                <w:color w:val="auto"/>
                <w:sz w:val="22"/>
                <w:szCs w:val="22"/>
              </w:rPr>
              <w:t>以及电子资源库下的电子资源包并设置订购层级为全库</w:t>
            </w:r>
            <w:r>
              <w:rPr>
                <w:rFonts w:hint="eastAsia" w:ascii="宋体" w:hAnsi="宋体"/>
                <w:color w:val="auto"/>
                <w:sz w:val="22"/>
                <w:szCs w:val="22"/>
              </w:rPr>
              <w:t>、子库或其他。</w:t>
            </w:r>
          </w:p>
          <w:p>
            <w:pPr>
              <w:widowControl/>
              <w:numPr>
                <w:ilvl w:val="0"/>
                <w:numId w:val="11"/>
              </w:numPr>
              <w:spacing w:line="276" w:lineRule="auto"/>
              <w:jc w:val="left"/>
              <w:textAlignment w:val="center"/>
              <w:rPr>
                <w:rFonts w:ascii="宋体" w:hAnsi="宋体"/>
                <w:color w:val="auto"/>
                <w:sz w:val="22"/>
                <w:szCs w:val="22"/>
              </w:rPr>
            </w:pPr>
            <w:r>
              <w:rPr>
                <w:rFonts w:ascii="宋体" w:hAnsi="宋体"/>
                <w:color w:val="auto"/>
                <w:sz w:val="22"/>
                <w:szCs w:val="22"/>
              </w:rPr>
              <w:t>支持电子资源库连通性检测</w:t>
            </w:r>
            <w:r>
              <w:rPr>
                <w:rFonts w:hint="eastAsia" w:ascii="宋体" w:hAnsi="宋体"/>
                <w:color w:val="auto"/>
                <w:sz w:val="22"/>
                <w:szCs w:val="22"/>
              </w:rPr>
              <w:t>。</w:t>
            </w:r>
          </w:p>
          <w:p>
            <w:pPr>
              <w:pStyle w:val="20"/>
              <w:numPr>
                <w:ilvl w:val="0"/>
                <w:numId w:val="11"/>
              </w:numPr>
              <w:spacing w:line="276" w:lineRule="auto"/>
              <w:ind w:firstLineChars="0"/>
              <w:rPr>
                <w:rFonts w:ascii="宋体" w:hAnsi="宋体" w:cs="宋体"/>
                <w:color w:val="auto"/>
                <w:sz w:val="22"/>
                <w:szCs w:val="22"/>
              </w:rPr>
            </w:pPr>
            <w:r>
              <w:rPr>
                <w:rFonts w:ascii="宋体" w:hAnsi="宋体" w:cs="宋体"/>
                <w:color w:val="auto"/>
                <w:sz w:val="22"/>
                <w:szCs w:val="22"/>
              </w:rPr>
              <w:t>支持资源库订购，可从</w:t>
            </w:r>
            <w:r>
              <w:rPr>
                <w:rFonts w:hint="eastAsia" w:ascii="宋体" w:hAnsi="宋体" w:cs="宋体"/>
                <w:color w:val="auto"/>
                <w:sz w:val="22"/>
                <w:szCs w:val="22"/>
              </w:rPr>
              <w:t>中央知识库</w:t>
            </w:r>
            <w:r>
              <w:rPr>
                <w:rFonts w:ascii="宋体" w:hAnsi="宋体" w:cs="宋体"/>
                <w:color w:val="auto"/>
                <w:sz w:val="22"/>
                <w:szCs w:val="22"/>
              </w:rPr>
              <w:t>进行订购，订购成功后进入订购项管理列表，支持选择采购单位为数据包（子库）订购模式</w:t>
            </w:r>
            <w:r>
              <w:rPr>
                <w:rFonts w:hint="eastAsia" w:ascii="宋体" w:hAnsi="宋体" w:cs="宋体"/>
                <w:color w:val="auto"/>
                <w:sz w:val="22"/>
                <w:szCs w:val="22"/>
              </w:rPr>
              <w:t>。</w:t>
            </w:r>
          </w:p>
          <w:p>
            <w:pPr>
              <w:pStyle w:val="20"/>
              <w:numPr>
                <w:ilvl w:val="0"/>
                <w:numId w:val="11"/>
              </w:numPr>
              <w:spacing w:line="276" w:lineRule="auto"/>
              <w:ind w:firstLineChars="0"/>
              <w:rPr>
                <w:rFonts w:ascii="宋体" w:hAnsi="宋体" w:cs="宋体"/>
                <w:color w:val="auto"/>
                <w:sz w:val="22"/>
                <w:szCs w:val="22"/>
              </w:rPr>
            </w:pPr>
            <w:r>
              <w:rPr>
                <w:rFonts w:ascii="宋体" w:hAnsi="宋体" w:cs="宋体"/>
                <w:color w:val="auto"/>
                <w:sz w:val="22"/>
                <w:szCs w:val="22"/>
              </w:rPr>
              <w:t>对订购成功的资源库，提供资源订单项的集中管理，支持按照采购资源类型、采购方案、进出口公司、提供商、生产商等进行筛选</w:t>
            </w:r>
            <w:r>
              <w:rPr>
                <w:rFonts w:hint="eastAsia" w:ascii="宋体" w:hAnsi="宋体" w:cs="宋体"/>
                <w:color w:val="auto"/>
                <w:sz w:val="22"/>
                <w:szCs w:val="22"/>
              </w:rPr>
              <w:t>。</w:t>
            </w:r>
          </w:p>
          <w:p>
            <w:pPr>
              <w:pStyle w:val="20"/>
              <w:numPr>
                <w:ilvl w:val="0"/>
                <w:numId w:val="11"/>
              </w:numPr>
              <w:spacing w:line="276" w:lineRule="auto"/>
              <w:ind w:firstLineChars="0"/>
              <w:rPr>
                <w:rFonts w:ascii="宋体" w:hAnsi="宋体" w:cs="宋体"/>
                <w:color w:val="auto"/>
                <w:sz w:val="22"/>
                <w:szCs w:val="22"/>
              </w:rPr>
            </w:pPr>
            <w:r>
              <w:rPr>
                <w:rFonts w:ascii="宋体" w:hAnsi="宋体" w:cs="宋体"/>
                <w:color w:val="auto"/>
                <w:sz w:val="22"/>
                <w:szCs w:val="22"/>
              </w:rPr>
              <w:t>查看记录数据库采购明细，支持记录付款金额，包含码洋、折扣、手续费比例、购买使用期限、购买合同、付款方式、发票记录</w:t>
            </w:r>
            <w:r>
              <w:rPr>
                <w:rFonts w:hint="eastAsia" w:ascii="宋体" w:hAnsi="宋体" w:cs="宋体"/>
                <w:color w:val="auto"/>
                <w:sz w:val="22"/>
                <w:szCs w:val="22"/>
              </w:rPr>
              <w:t>。</w:t>
            </w:r>
          </w:p>
          <w:p>
            <w:pPr>
              <w:pStyle w:val="20"/>
              <w:numPr>
                <w:ilvl w:val="0"/>
                <w:numId w:val="11"/>
              </w:numPr>
              <w:spacing w:line="276" w:lineRule="auto"/>
              <w:ind w:firstLineChars="0"/>
              <w:jc w:val="left"/>
              <w:rPr>
                <w:rFonts w:ascii="宋体" w:hAnsi="宋体"/>
                <w:bCs/>
                <w:color w:val="auto"/>
                <w:sz w:val="22"/>
                <w:szCs w:val="22"/>
              </w:rPr>
            </w:pPr>
            <w:r>
              <w:rPr>
                <w:rFonts w:ascii="宋体" w:hAnsi="宋体"/>
                <w:bCs/>
                <w:color w:val="auto"/>
                <w:sz w:val="22"/>
                <w:szCs w:val="22"/>
              </w:rPr>
              <w:t>本单位电子资源管理中，具体期刊可以点击显示该刊下的卷期目录，包含年度、卷期信息。</w:t>
            </w:r>
          </w:p>
          <w:p>
            <w:pPr>
              <w:pStyle w:val="20"/>
              <w:numPr>
                <w:ilvl w:val="0"/>
                <w:numId w:val="11"/>
              </w:numPr>
              <w:spacing w:line="276" w:lineRule="auto"/>
              <w:ind w:firstLineChars="0"/>
              <w:jc w:val="left"/>
              <w:rPr>
                <w:rFonts w:ascii="宋体" w:hAnsi="宋体"/>
                <w:bCs/>
                <w:color w:val="auto"/>
                <w:sz w:val="22"/>
                <w:szCs w:val="22"/>
              </w:rPr>
            </w:pPr>
            <w:r>
              <w:rPr>
                <w:rFonts w:ascii="宋体" w:hAnsi="宋体"/>
                <w:bCs/>
                <w:color w:val="auto"/>
                <w:sz w:val="22"/>
                <w:szCs w:val="22"/>
              </w:rPr>
              <w:t>期刊的卷期目录下，应显示该卷期所对应的篇级信息。同时显示该目录下的文章信息，必须包含篇名、责任者、机构、页码和篇对应的URL。可按责任者、篇名进行检索，点击题名可跳转到文章详情页面。</w:t>
            </w:r>
          </w:p>
          <w:p>
            <w:pPr>
              <w:pStyle w:val="20"/>
              <w:widowControl/>
              <w:numPr>
                <w:ilvl w:val="0"/>
                <w:numId w:val="11"/>
              </w:numPr>
              <w:spacing w:line="276" w:lineRule="auto"/>
              <w:ind w:firstLineChars="0"/>
              <w:jc w:val="left"/>
              <w:rPr>
                <w:rFonts w:ascii="宋体" w:hAnsi="宋体"/>
                <w:color w:val="auto"/>
                <w:sz w:val="22"/>
                <w:szCs w:val="22"/>
              </w:rPr>
            </w:pPr>
            <w:r>
              <w:rPr>
                <w:rFonts w:ascii="宋体" w:hAnsi="宋体"/>
                <w:bCs/>
                <w:color w:val="auto"/>
                <w:sz w:val="22"/>
                <w:szCs w:val="22"/>
              </w:rPr>
              <w:t>电子期刊单刊中应能显示分类导航，可按学科、责任者、机构、基金对期刊篇级数据进行聚类检索。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4</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资源典藏</w:t>
            </w:r>
          </w:p>
        </w:tc>
        <w:tc>
          <w:tcPr>
            <w:tcW w:w="3357" w:type="pct"/>
          </w:tcPr>
          <w:p>
            <w:pPr>
              <w:widowControl/>
              <w:numPr>
                <w:ilvl w:val="0"/>
                <w:numId w:val="12"/>
              </w:numPr>
              <w:spacing w:line="276" w:lineRule="auto"/>
              <w:jc w:val="left"/>
              <w:textAlignment w:val="center"/>
              <w:rPr>
                <w:rFonts w:ascii="宋体" w:hAnsi="宋体"/>
                <w:color w:val="auto"/>
                <w:sz w:val="22"/>
                <w:szCs w:val="22"/>
              </w:rPr>
            </w:pPr>
            <w:r>
              <w:rPr>
                <w:rFonts w:hint="eastAsia" w:ascii="宋体" w:hAnsi="宋体"/>
                <w:color w:val="auto"/>
                <w:sz w:val="22"/>
                <w:szCs w:val="22"/>
              </w:rPr>
              <w:t>具备新书分配、清点、调拨、剔旧、报废、单册处理等功能。</w:t>
            </w:r>
          </w:p>
          <w:p>
            <w:pPr>
              <w:widowControl/>
              <w:numPr>
                <w:ilvl w:val="0"/>
                <w:numId w:val="12"/>
              </w:numPr>
              <w:spacing w:line="276" w:lineRule="auto"/>
              <w:jc w:val="left"/>
              <w:textAlignment w:val="center"/>
              <w:rPr>
                <w:rFonts w:ascii="宋体" w:hAnsi="宋体"/>
                <w:color w:val="auto"/>
                <w:sz w:val="22"/>
                <w:szCs w:val="22"/>
              </w:rPr>
            </w:pPr>
            <w:r>
              <w:rPr>
                <w:rFonts w:hint="eastAsia" w:ascii="宋体" w:hAnsi="宋体"/>
                <w:color w:val="auto"/>
                <w:sz w:val="22"/>
                <w:szCs w:val="22"/>
              </w:rPr>
              <w:t>按规则方式和条码方式分配，可批量修改年份、流通属性、分配馆等信息，可批量自动分配条码、分配馆藏地及送流通。</w:t>
            </w:r>
          </w:p>
          <w:p>
            <w:pPr>
              <w:widowControl/>
              <w:numPr>
                <w:ilvl w:val="0"/>
                <w:numId w:val="12"/>
              </w:numPr>
              <w:spacing w:line="276" w:lineRule="auto"/>
              <w:jc w:val="left"/>
              <w:textAlignment w:val="center"/>
              <w:rPr>
                <w:rFonts w:ascii="宋体" w:hAnsi="宋体"/>
                <w:color w:val="auto"/>
                <w:sz w:val="22"/>
                <w:szCs w:val="22"/>
              </w:rPr>
            </w:pPr>
            <w:r>
              <w:rPr>
                <w:rFonts w:ascii="宋体" w:hAnsi="宋体"/>
                <w:color w:val="auto"/>
                <w:sz w:val="22"/>
                <w:szCs w:val="22"/>
              </w:rPr>
              <w:t>上架的新书有荐购记录的会优先通知荐购者。</w:t>
            </w:r>
          </w:p>
          <w:p>
            <w:pPr>
              <w:widowControl/>
              <w:numPr>
                <w:ilvl w:val="0"/>
                <w:numId w:val="12"/>
              </w:numPr>
              <w:spacing w:line="276" w:lineRule="auto"/>
              <w:jc w:val="left"/>
              <w:textAlignment w:val="center"/>
              <w:rPr>
                <w:rFonts w:ascii="宋体" w:hAnsi="宋体"/>
                <w:color w:val="auto"/>
                <w:sz w:val="22"/>
                <w:szCs w:val="22"/>
              </w:rPr>
            </w:pPr>
            <w:r>
              <w:rPr>
                <w:rFonts w:hint="eastAsia" w:ascii="宋体" w:hAnsi="宋体"/>
                <w:color w:val="auto"/>
                <w:sz w:val="22"/>
                <w:szCs w:val="22"/>
              </w:rPr>
              <w:t>提供二次清点，显示在馆异常和非本馆书目。</w:t>
            </w:r>
          </w:p>
          <w:p>
            <w:pPr>
              <w:widowControl/>
              <w:numPr>
                <w:ilvl w:val="0"/>
                <w:numId w:val="12"/>
              </w:numPr>
              <w:spacing w:line="276" w:lineRule="auto"/>
              <w:jc w:val="left"/>
              <w:textAlignment w:val="center"/>
              <w:rPr>
                <w:rFonts w:ascii="宋体" w:hAnsi="宋体"/>
                <w:color w:val="auto"/>
                <w:sz w:val="22"/>
                <w:szCs w:val="22"/>
              </w:rPr>
            </w:pPr>
            <w:r>
              <w:rPr>
                <w:rFonts w:hint="eastAsia" w:ascii="宋体" w:hAnsi="宋体"/>
                <w:color w:val="auto"/>
                <w:sz w:val="22"/>
                <w:szCs w:val="22"/>
              </w:rPr>
              <w:t>批量调拨，能够变更财产归属，可查看调拨日志。</w:t>
            </w:r>
          </w:p>
          <w:p>
            <w:pPr>
              <w:widowControl/>
              <w:numPr>
                <w:ilvl w:val="0"/>
                <w:numId w:val="12"/>
              </w:numPr>
              <w:spacing w:line="276" w:lineRule="auto"/>
              <w:jc w:val="left"/>
              <w:textAlignment w:val="center"/>
              <w:rPr>
                <w:rFonts w:ascii="宋体" w:hAnsi="宋体"/>
                <w:color w:val="auto"/>
                <w:sz w:val="22"/>
                <w:szCs w:val="22"/>
              </w:rPr>
            </w:pPr>
            <w:r>
              <w:rPr>
                <w:rFonts w:hint="eastAsia" w:ascii="宋体" w:hAnsi="宋体"/>
                <w:color w:val="auto"/>
                <w:sz w:val="22"/>
                <w:szCs w:val="22"/>
              </w:rPr>
              <w:t>可对单册图书进行报废、赠送、交换、丢失、送修、回验、上架处理，可更改单册图书的馆藏地、当前地、借阅属性等信息。</w:t>
            </w:r>
          </w:p>
          <w:p>
            <w:pPr>
              <w:pStyle w:val="20"/>
              <w:widowControl/>
              <w:numPr>
                <w:ilvl w:val="0"/>
                <w:numId w:val="12"/>
              </w:numPr>
              <w:spacing w:line="276" w:lineRule="auto"/>
              <w:ind w:firstLineChars="0"/>
              <w:jc w:val="left"/>
              <w:rPr>
                <w:rFonts w:ascii="宋体" w:hAnsi="宋体"/>
                <w:color w:val="auto"/>
                <w:sz w:val="22"/>
                <w:szCs w:val="22"/>
              </w:rPr>
            </w:pPr>
            <w:r>
              <w:rPr>
                <w:rFonts w:hint="eastAsia" w:ascii="宋体" w:hAnsi="宋体"/>
                <w:color w:val="auto"/>
                <w:sz w:val="22"/>
                <w:szCs w:val="22"/>
              </w:rPr>
              <w:t>按馆藏地、按种、按册及按分类模板打印交接单，便于馆员交接时查看信息。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5</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读者服务</w:t>
            </w:r>
          </w:p>
        </w:tc>
        <w:tc>
          <w:tcPr>
            <w:tcW w:w="3357" w:type="pct"/>
          </w:tcPr>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实现借、还、续借、预约等多种流通管理，支持智能借还、人脸识别借还。</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根据不同的借阅规则和请求规则，对读者借阅、续借、超期、预约请求、物流服务等进行权限限制。</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统一的账号管理，同一用户可拥有多重身份，包括工作人员、读者。支持一卡通的接入。</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提供读者借阅辅助证管理，包括本馆借阅证、辅助卡。</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统一的行为和费用管理，可对超期、遗失等行为进行处理，可选择停借、罚款等组合处理方式。</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提供批量免罚、批量修改、批量注销等服务。支持读者属性规范化，批量规范单位、部门、职位等信息。可展示读者当前借阅量和总借阅量。</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读者阅览管理提供读者图书登记、读者计到、图书计次等多种阅览记录方式，对读者阅览类型分布、图书阅览分类分布进行统计。</w:t>
            </w:r>
          </w:p>
          <w:p>
            <w:pPr>
              <w:widowControl/>
              <w:numPr>
                <w:ilvl w:val="0"/>
                <w:numId w:val="13"/>
              </w:numPr>
              <w:spacing w:line="276" w:lineRule="auto"/>
              <w:jc w:val="left"/>
              <w:textAlignment w:val="center"/>
              <w:rPr>
                <w:rFonts w:ascii="宋体" w:hAnsi="宋体"/>
                <w:color w:val="auto"/>
                <w:sz w:val="22"/>
                <w:szCs w:val="22"/>
              </w:rPr>
            </w:pPr>
            <w:r>
              <w:rPr>
                <w:rFonts w:hint="eastAsia" w:ascii="宋体" w:hAnsi="宋体"/>
                <w:color w:val="auto"/>
                <w:sz w:val="22"/>
                <w:szCs w:val="22"/>
              </w:rPr>
              <w:t>支持读者积分管理，可自定义读者积分类型。读者可通过不同累计积分途径，使用积分抵扣罚款或借书。</w:t>
            </w:r>
          </w:p>
          <w:p>
            <w:pPr>
              <w:pStyle w:val="20"/>
              <w:widowControl/>
              <w:numPr>
                <w:ilvl w:val="0"/>
                <w:numId w:val="13"/>
              </w:numPr>
              <w:spacing w:line="276" w:lineRule="auto"/>
              <w:ind w:firstLineChars="0"/>
              <w:jc w:val="left"/>
              <w:rPr>
                <w:rFonts w:ascii="宋体" w:hAnsi="宋体"/>
                <w:color w:val="auto"/>
                <w:sz w:val="22"/>
                <w:szCs w:val="22"/>
              </w:rPr>
            </w:pPr>
            <w:r>
              <w:rPr>
                <w:rFonts w:hint="eastAsia" w:ascii="宋体" w:hAnsi="宋体"/>
                <w:color w:val="auto"/>
                <w:sz w:val="22"/>
                <w:szCs w:val="22"/>
              </w:rPr>
              <w:t>可对读者登记、图书登记及现刊登记进行阅览日志查询，分别展示读者、图书及现刊的基本信息。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6</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纸质期刊管理</w:t>
            </w:r>
          </w:p>
        </w:tc>
        <w:tc>
          <w:tcPr>
            <w:tcW w:w="3357" w:type="pct"/>
          </w:tcPr>
          <w:p>
            <w:pPr>
              <w:widowControl/>
              <w:numPr>
                <w:ilvl w:val="0"/>
                <w:numId w:val="14"/>
              </w:numPr>
              <w:spacing w:line="276" w:lineRule="auto"/>
              <w:jc w:val="left"/>
              <w:textAlignment w:val="center"/>
              <w:rPr>
                <w:rFonts w:ascii="宋体" w:hAnsi="宋体"/>
                <w:color w:val="auto"/>
                <w:sz w:val="22"/>
                <w:szCs w:val="22"/>
              </w:rPr>
            </w:pPr>
            <w:r>
              <w:rPr>
                <w:rFonts w:ascii="宋体" w:hAnsi="宋体"/>
                <w:color w:val="auto"/>
                <w:sz w:val="22"/>
                <w:szCs w:val="22"/>
              </w:rPr>
              <w:t>实现期刊征订数据的导入，规范价格和出版频率。</w:t>
            </w:r>
          </w:p>
          <w:p>
            <w:pPr>
              <w:widowControl/>
              <w:numPr>
                <w:ilvl w:val="0"/>
                <w:numId w:val="14"/>
              </w:numPr>
              <w:spacing w:line="276" w:lineRule="auto"/>
              <w:jc w:val="left"/>
              <w:textAlignment w:val="center"/>
              <w:rPr>
                <w:rFonts w:ascii="宋体" w:hAnsi="宋体"/>
                <w:color w:val="auto"/>
                <w:sz w:val="22"/>
                <w:szCs w:val="22"/>
              </w:rPr>
            </w:pPr>
            <w:r>
              <w:rPr>
                <w:rFonts w:ascii="宋体" w:hAnsi="宋体"/>
                <w:color w:val="auto"/>
                <w:sz w:val="22"/>
                <w:szCs w:val="22"/>
              </w:rPr>
              <w:t>预订池管理，不限定供应商和批次的情况下，提供限定条件单选及扩展条件</w:t>
            </w:r>
            <w:r>
              <w:rPr>
                <w:rFonts w:hint="eastAsia" w:ascii="宋体" w:hAnsi="宋体"/>
                <w:color w:val="auto"/>
                <w:sz w:val="22"/>
                <w:szCs w:val="22"/>
              </w:rPr>
              <w:t>复选，</w:t>
            </w:r>
            <w:r>
              <w:rPr>
                <w:rFonts w:ascii="宋体" w:hAnsi="宋体"/>
                <w:color w:val="auto"/>
                <w:sz w:val="22"/>
                <w:szCs w:val="22"/>
              </w:rPr>
              <w:t>限定条件包含</w:t>
            </w:r>
            <w:r>
              <w:rPr>
                <w:rFonts w:hint="eastAsia" w:ascii="宋体" w:hAnsi="宋体"/>
                <w:color w:val="auto"/>
                <w:sz w:val="22"/>
                <w:szCs w:val="22"/>
              </w:rPr>
              <w:t>文献类型、预订时间，扩展条件含订购年、责任者、出版社、预订包号等多聚类条件。并可</w:t>
            </w:r>
            <w:r>
              <w:rPr>
                <w:rFonts w:ascii="宋体" w:hAnsi="宋体"/>
                <w:color w:val="auto"/>
                <w:sz w:val="22"/>
                <w:szCs w:val="22"/>
              </w:rPr>
              <w:t>根据订购状态</w:t>
            </w:r>
            <w:r>
              <w:rPr>
                <w:rFonts w:hint="eastAsia" w:ascii="宋体" w:hAnsi="宋体"/>
                <w:color w:val="auto"/>
                <w:sz w:val="22"/>
                <w:szCs w:val="22"/>
              </w:rPr>
              <w:t>（所有、未订、已订）进行筛选显示。预订记录的增删改查。</w:t>
            </w:r>
          </w:p>
          <w:p>
            <w:pPr>
              <w:widowControl/>
              <w:numPr>
                <w:ilvl w:val="0"/>
                <w:numId w:val="14"/>
              </w:numPr>
              <w:spacing w:line="276" w:lineRule="auto"/>
              <w:jc w:val="left"/>
              <w:textAlignment w:val="center"/>
              <w:rPr>
                <w:rFonts w:ascii="宋体" w:hAnsi="宋体"/>
                <w:color w:val="auto"/>
                <w:sz w:val="22"/>
                <w:szCs w:val="22"/>
              </w:rPr>
            </w:pPr>
            <w:r>
              <w:rPr>
                <w:rFonts w:hint="eastAsia" w:ascii="宋体" w:hAnsi="宋体"/>
                <w:color w:val="auto"/>
                <w:sz w:val="22"/>
                <w:szCs w:val="22"/>
              </w:rPr>
              <w:t>批查重，查重后有重复记录的显示重复情况，支持关联订购，提供关联订购标记，并自动继承往年的订购、签收和分配参数。</w:t>
            </w:r>
          </w:p>
          <w:p>
            <w:pPr>
              <w:widowControl/>
              <w:numPr>
                <w:ilvl w:val="0"/>
                <w:numId w:val="14"/>
              </w:numPr>
              <w:spacing w:line="276" w:lineRule="auto"/>
              <w:jc w:val="left"/>
              <w:textAlignment w:val="center"/>
              <w:rPr>
                <w:rFonts w:ascii="宋体" w:hAnsi="宋体"/>
                <w:color w:val="auto"/>
                <w:sz w:val="22"/>
                <w:szCs w:val="22"/>
              </w:rPr>
            </w:pPr>
            <w:r>
              <w:rPr>
                <w:rFonts w:hint="eastAsia" w:ascii="宋体" w:hAnsi="宋体"/>
                <w:color w:val="auto"/>
                <w:sz w:val="22"/>
                <w:szCs w:val="22"/>
              </w:rPr>
              <w:t>现刊条码分配，</w:t>
            </w:r>
            <w:r>
              <w:rPr>
                <w:rFonts w:ascii="宋体" w:hAnsi="宋体"/>
                <w:color w:val="auto"/>
                <w:sz w:val="22"/>
                <w:szCs w:val="22"/>
              </w:rPr>
              <w:t>现刊直接入藏借阅</w:t>
            </w:r>
            <w:r>
              <w:rPr>
                <w:rFonts w:hint="eastAsia" w:ascii="宋体" w:hAnsi="宋体"/>
                <w:color w:val="auto"/>
                <w:sz w:val="22"/>
                <w:szCs w:val="22"/>
              </w:rPr>
              <w:t>。</w:t>
            </w:r>
          </w:p>
          <w:p>
            <w:pPr>
              <w:widowControl/>
              <w:numPr>
                <w:ilvl w:val="0"/>
                <w:numId w:val="14"/>
              </w:numPr>
              <w:spacing w:line="276" w:lineRule="auto"/>
              <w:jc w:val="left"/>
              <w:textAlignment w:val="center"/>
              <w:rPr>
                <w:rFonts w:ascii="宋体" w:hAnsi="宋体"/>
                <w:color w:val="auto"/>
                <w:sz w:val="22"/>
                <w:szCs w:val="22"/>
              </w:rPr>
            </w:pPr>
            <w:r>
              <w:rPr>
                <w:rFonts w:hint="eastAsia" w:ascii="宋体" w:hAnsi="宋体"/>
                <w:color w:val="auto"/>
                <w:sz w:val="22"/>
                <w:szCs w:val="22"/>
              </w:rPr>
              <w:t>满足</w:t>
            </w:r>
            <w:r>
              <w:rPr>
                <w:rFonts w:ascii="宋体" w:hAnsi="宋体"/>
                <w:color w:val="auto"/>
                <w:sz w:val="22"/>
                <w:szCs w:val="22"/>
              </w:rPr>
              <w:t>正常刊、不详刊、其他出版频率刊的签收。</w:t>
            </w:r>
          </w:p>
          <w:p>
            <w:pPr>
              <w:pStyle w:val="20"/>
              <w:widowControl/>
              <w:numPr>
                <w:ilvl w:val="0"/>
                <w:numId w:val="14"/>
              </w:numPr>
              <w:spacing w:line="276" w:lineRule="auto"/>
              <w:ind w:firstLineChars="0"/>
              <w:jc w:val="left"/>
              <w:rPr>
                <w:rFonts w:ascii="宋体" w:hAnsi="宋体"/>
                <w:color w:val="auto"/>
                <w:sz w:val="22"/>
                <w:szCs w:val="22"/>
              </w:rPr>
            </w:pPr>
            <w:r>
              <w:rPr>
                <w:rFonts w:hint="eastAsia" w:ascii="宋体" w:hAnsi="宋体"/>
                <w:color w:val="auto"/>
                <w:sz w:val="22"/>
                <w:szCs w:val="22"/>
              </w:rPr>
              <w:t>具备</w:t>
            </w:r>
            <w:r>
              <w:rPr>
                <w:rFonts w:ascii="宋体" w:hAnsi="宋体"/>
                <w:color w:val="auto"/>
                <w:sz w:val="22"/>
                <w:szCs w:val="22"/>
              </w:rPr>
              <w:t>多种特殊的签收情况处理，包含改名刊、改频率刊、增刊、合刊、停刊等</w:t>
            </w:r>
            <w:r>
              <w:rPr>
                <w:rFonts w:hint="eastAsia" w:ascii="宋体" w:hAnsi="宋体"/>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7</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配置管理</w:t>
            </w:r>
          </w:p>
        </w:tc>
        <w:tc>
          <w:tcPr>
            <w:tcW w:w="3357" w:type="pct"/>
          </w:tcPr>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实现</w:t>
            </w:r>
            <w:r>
              <w:rPr>
                <w:rFonts w:ascii="宋体" w:hAnsi="宋体"/>
                <w:color w:val="auto"/>
                <w:sz w:val="22"/>
                <w:szCs w:val="22"/>
              </w:rPr>
              <w:t>对系统通用参数</w:t>
            </w:r>
            <w:r>
              <w:rPr>
                <w:rFonts w:hint="eastAsia" w:ascii="宋体" w:hAnsi="宋体"/>
                <w:color w:val="auto"/>
                <w:sz w:val="22"/>
                <w:szCs w:val="22"/>
              </w:rPr>
              <w:t>、</w:t>
            </w:r>
            <w:r>
              <w:rPr>
                <w:rFonts w:ascii="宋体" w:hAnsi="宋体"/>
                <w:color w:val="auto"/>
                <w:sz w:val="22"/>
                <w:szCs w:val="22"/>
              </w:rPr>
              <w:t>资源采访</w:t>
            </w:r>
            <w:r>
              <w:rPr>
                <w:rFonts w:hint="eastAsia" w:ascii="宋体" w:hAnsi="宋体"/>
                <w:color w:val="auto"/>
                <w:sz w:val="22"/>
                <w:szCs w:val="22"/>
              </w:rPr>
              <w:t>、</w:t>
            </w:r>
            <w:r>
              <w:rPr>
                <w:rFonts w:ascii="宋体" w:hAnsi="宋体"/>
                <w:color w:val="auto"/>
                <w:sz w:val="22"/>
                <w:szCs w:val="22"/>
              </w:rPr>
              <w:t>资源管理</w:t>
            </w:r>
            <w:r>
              <w:rPr>
                <w:rFonts w:hint="eastAsia" w:ascii="宋体" w:hAnsi="宋体"/>
                <w:color w:val="auto"/>
                <w:sz w:val="22"/>
                <w:szCs w:val="22"/>
              </w:rPr>
              <w:t>、</w:t>
            </w:r>
            <w:r>
              <w:rPr>
                <w:rFonts w:ascii="宋体" w:hAnsi="宋体"/>
                <w:color w:val="auto"/>
                <w:sz w:val="22"/>
                <w:szCs w:val="22"/>
              </w:rPr>
              <w:t>读者服务</w:t>
            </w:r>
            <w:r>
              <w:rPr>
                <w:rFonts w:hint="eastAsia" w:ascii="宋体" w:hAnsi="宋体"/>
                <w:color w:val="auto"/>
                <w:sz w:val="22"/>
                <w:szCs w:val="22"/>
              </w:rPr>
              <w:t>、</w:t>
            </w:r>
            <w:r>
              <w:rPr>
                <w:rFonts w:ascii="宋体" w:hAnsi="宋体"/>
                <w:color w:val="auto"/>
                <w:sz w:val="22"/>
                <w:szCs w:val="22"/>
              </w:rPr>
              <w:t>系统管理</w:t>
            </w:r>
            <w:r>
              <w:rPr>
                <w:rFonts w:hint="eastAsia" w:ascii="宋体" w:hAnsi="宋体"/>
                <w:color w:val="auto"/>
                <w:sz w:val="22"/>
                <w:szCs w:val="22"/>
              </w:rPr>
              <w:t>、</w:t>
            </w:r>
            <w:r>
              <w:rPr>
                <w:rFonts w:ascii="宋体" w:hAnsi="宋体"/>
                <w:color w:val="auto"/>
                <w:sz w:val="22"/>
                <w:szCs w:val="22"/>
              </w:rPr>
              <w:t>机构参数的后台配置</w:t>
            </w:r>
            <w:r>
              <w:rPr>
                <w:rFonts w:hint="eastAsia" w:ascii="宋体" w:hAnsi="宋体"/>
                <w:color w:val="auto"/>
                <w:sz w:val="22"/>
                <w:szCs w:val="22"/>
              </w:rPr>
              <w:t>。从</w:t>
            </w:r>
            <w:r>
              <w:rPr>
                <w:rFonts w:ascii="宋体" w:hAnsi="宋体"/>
                <w:color w:val="auto"/>
                <w:sz w:val="22"/>
                <w:szCs w:val="22"/>
              </w:rPr>
              <w:t>机构</w:t>
            </w:r>
            <w:r>
              <w:rPr>
                <w:rFonts w:hint="eastAsia" w:ascii="宋体" w:hAnsi="宋体"/>
                <w:color w:val="auto"/>
                <w:sz w:val="22"/>
                <w:szCs w:val="22"/>
              </w:rPr>
              <w:t>到工作台到</w:t>
            </w:r>
            <w:r>
              <w:rPr>
                <w:rFonts w:ascii="宋体" w:hAnsi="宋体"/>
                <w:color w:val="auto"/>
                <w:sz w:val="22"/>
                <w:szCs w:val="22"/>
              </w:rPr>
              <w:t>个人</w:t>
            </w:r>
            <w:r>
              <w:rPr>
                <w:rFonts w:hint="eastAsia" w:ascii="宋体" w:hAnsi="宋体"/>
                <w:color w:val="auto"/>
                <w:sz w:val="22"/>
                <w:szCs w:val="22"/>
              </w:rPr>
              <w:t>三层参数设置，保证机构一致性和个人独立性。</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提供服务规则统一管理，每个馆都能设置服务规则及读者服务策略，对应的规则组合可以包括本馆和异馆的读者类型和馆藏地。</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不同工作台对应不同的工作类型，实现多个工作台切换操作。支持对工作台基本信息、服务图书馆、可操作人员、业务馆藏地和资源管理的配置；馆藏分配规则实现条码区间可共享并可对分配规则排序；资源采访支持使用经费及经费使用规则的管理。可选择可采购资料类型，移除某一资料采购类型，预订、订购页面不再显示此资料采购类型；读者服务提供对流通基本参数中的付款信息、阅览管理规则的设置，可选择机构及本馆办证用户类型，限制本馆和异馆的借书、还书和罚款行为。</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对本馆基本参数进行设置，选择图书馆级别、类型等，分馆种次号可继承总馆或独立，开启读者采购，设置</w:t>
            </w:r>
            <w:r>
              <w:rPr>
                <w:rFonts w:ascii="宋体" w:hAnsi="宋体"/>
                <w:color w:val="auto"/>
                <w:sz w:val="22"/>
                <w:szCs w:val="22"/>
              </w:rPr>
              <w:t>Z39站点和地址，对图书到期、超期催还相关参数配置，可开启积分服务，全方位管控本馆。</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通过资料采购的设置，规范订购和接收的业务流程，可根据接收方式判断资料类型。</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资源管理参数类型包括种次号分组、</w:t>
            </w:r>
            <w:r>
              <w:rPr>
                <w:rFonts w:ascii="宋体" w:hAnsi="宋体"/>
                <w:color w:val="auto"/>
                <w:sz w:val="22"/>
                <w:szCs w:val="22"/>
              </w:rPr>
              <w:t>MARC行列对照、数字编码格式等。</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支持四角号按</w:t>
            </w:r>
            <w:r>
              <w:rPr>
                <w:rFonts w:ascii="宋体" w:hAnsi="宋体"/>
                <w:color w:val="auto"/>
                <w:sz w:val="22"/>
                <w:szCs w:val="22"/>
              </w:rPr>
              <w:t>3位或4位生成亦可区分单复姓。可自定义Z39.50站点。可自定义</w:t>
            </w:r>
            <w:r>
              <w:rPr>
                <w:rFonts w:hint="eastAsia" w:ascii="宋体" w:hAnsi="宋体"/>
                <w:color w:val="auto"/>
                <w:sz w:val="22"/>
                <w:szCs w:val="22"/>
              </w:rPr>
              <w:t>MARC行列字段名称，能够新增、修改及批量删除。</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实现读者属性的管理，对读者服务策略、服务规则、行为类型和流通政策进行设置。可设置开放日</w:t>
            </w:r>
            <w:r>
              <w:rPr>
                <w:rFonts w:ascii="宋体" w:hAnsi="宋体"/>
                <w:color w:val="auto"/>
                <w:sz w:val="22"/>
                <w:szCs w:val="22"/>
              </w:rPr>
              <w:t>/闭馆日，并将闭馆日应用至多个馆藏地。</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读者服务策略可关联多个图书馆，可将借阅规则和请求规则组合使用。</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可自定义行为类型并能采用计费、停借或计费＋停借的组合方式进行处理。可选择收支类型、是否开启退款、免费和启用该行为，以规范各种行为类型。</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提供通告管理，及时发布通知便于馆员查看。</w:t>
            </w:r>
          </w:p>
          <w:p>
            <w:pPr>
              <w:widowControl/>
              <w:numPr>
                <w:ilvl w:val="0"/>
                <w:numId w:val="15"/>
              </w:numPr>
              <w:spacing w:line="276" w:lineRule="auto"/>
              <w:jc w:val="left"/>
              <w:textAlignment w:val="center"/>
              <w:rPr>
                <w:rFonts w:ascii="宋体" w:hAnsi="宋体"/>
                <w:color w:val="auto"/>
                <w:sz w:val="22"/>
                <w:szCs w:val="22"/>
              </w:rPr>
            </w:pPr>
            <w:r>
              <w:rPr>
                <w:rFonts w:hint="eastAsia" w:ascii="宋体" w:hAnsi="宋体"/>
                <w:color w:val="auto"/>
                <w:sz w:val="22"/>
                <w:szCs w:val="22"/>
              </w:rPr>
              <w:t>按系统模块实现权限的全选或多选，可对角色可操作部分进行限制。保证采、编、典、流等行为的独立性，支持院系独立分馆和直属分馆的建设，支持不限层级的总分馆体系。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8</w:t>
            </w:r>
          </w:p>
        </w:tc>
        <w:tc>
          <w:tcPr>
            <w:tcW w:w="636" w:type="pct"/>
            <w:vMerge w:val="restar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终端</w:t>
            </w:r>
          </w:p>
          <w:p>
            <w:pPr>
              <w:spacing w:line="276" w:lineRule="auto"/>
              <w:jc w:val="center"/>
              <w:rPr>
                <w:rFonts w:ascii="宋体" w:hAnsi="宋体"/>
                <w:b/>
                <w:color w:val="auto"/>
                <w:sz w:val="22"/>
                <w:szCs w:val="22"/>
              </w:rPr>
            </w:pPr>
            <w:r>
              <w:rPr>
                <w:rFonts w:hint="eastAsia" w:ascii="宋体" w:hAnsi="宋体"/>
                <w:b/>
                <w:color w:val="auto"/>
                <w:sz w:val="22"/>
                <w:szCs w:val="22"/>
              </w:rPr>
              <w:t>管理</w:t>
            </w: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终端管理</w:t>
            </w:r>
          </w:p>
        </w:tc>
        <w:tc>
          <w:tcPr>
            <w:tcW w:w="3357" w:type="pct"/>
          </w:tcPr>
          <w:p>
            <w:pPr>
              <w:widowControl/>
              <w:numPr>
                <w:ilvl w:val="0"/>
                <w:numId w:val="16"/>
              </w:numPr>
              <w:spacing w:line="276" w:lineRule="auto"/>
              <w:jc w:val="left"/>
              <w:textAlignment w:val="center"/>
              <w:rPr>
                <w:rFonts w:ascii="宋体" w:hAnsi="宋体"/>
                <w:color w:val="auto"/>
                <w:sz w:val="22"/>
                <w:szCs w:val="22"/>
              </w:rPr>
            </w:pPr>
            <w:r>
              <w:rPr>
                <w:rFonts w:hint="eastAsia" w:ascii="宋体" w:hAnsi="宋体"/>
                <w:color w:val="auto"/>
                <w:sz w:val="22"/>
                <w:szCs w:val="22"/>
              </w:rPr>
              <w:t>提供门户配置界面，支持单位自主配置</w:t>
            </w:r>
            <w:r>
              <w:rPr>
                <w:rFonts w:ascii="宋体" w:hAnsi="宋体" w:cs="宋体"/>
                <w:color w:val="auto"/>
                <w:sz w:val="22"/>
                <w:szCs w:val="22"/>
              </w:rPr>
              <w:t>门户网站基本参数、</w:t>
            </w:r>
            <w:r>
              <w:rPr>
                <w:rFonts w:hint="eastAsia" w:ascii="宋体" w:hAnsi="宋体" w:cs="宋体"/>
                <w:color w:val="auto"/>
                <w:sz w:val="22"/>
                <w:szCs w:val="22"/>
              </w:rPr>
              <w:t>网页</w:t>
            </w:r>
            <w:r>
              <w:rPr>
                <w:rFonts w:ascii="宋体" w:hAnsi="宋体" w:cs="宋体"/>
                <w:color w:val="auto"/>
                <w:sz w:val="22"/>
                <w:szCs w:val="22"/>
              </w:rPr>
              <w:t>页面、灵活拖拽搭建模块，并配有多套精美门户模版。</w:t>
            </w:r>
          </w:p>
          <w:p>
            <w:pPr>
              <w:widowControl/>
              <w:numPr>
                <w:ilvl w:val="0"/>
                <w:numId w:val="16"/>
              </w:numPr>
              <w:spacing w:line="276" w:lineRule="auto"/>
              <w:jc w:val="left"/>
              <w:textAlignment w:val="center"/>
              <w:rPr>
                <w:rFonts w:ascii="宋体" w:hAnsi="宋体"/>
                <w:color w:val="auto"/>
                <w:sz w:val="22"/>
                <w:szCs w:val="22"/>
              </w:rPr>
            </w:pPr>
            <w:r>
              <w:rPr>
                <w:rFonts w:hint="eastAsia" w:ascii="宋体" w:hAnsi="宋体"/>
                <w:color w:val="auto"/>
                <w:sz w:val="22"/>
                <w:szCs w:val="22"/>
              </w:rPr>
              <w:t>提供P</w:t>
            </w:r>
            <w:r>
              <w:rPr>
                <w:rFonts w:ascii="宋体" w:hAnsi="宋体"/>
                <w:color w:val="auto"/>
                <w:sz w:val="22"/>
                <w:szCs w:val="22"/>
              </w:rPr>
              <w:t>C</w:t>
            </w:r>
            <w:r>
              <w:rPr>
                <w:rFonts w:hint="eastAsia" w:ascii="宋体" w:hAnsi="宋体"/>
                <w:color w:val="auto"/>
                <w:sz w:val="22"/>
                <w:szCs w:val="22"/>
              </w:rPr>
              <w:t>端个人知识空间配置界面，</w:t>
            </w:r>
            <w:r>
              <w:rPr>
                <w:rFonts w:ascii="宋体" w:hAnsi="宋体"/>
                <w:color w:val="auto"/>
                <w:sz w:val="22"/>
                <w:szCs w:val="22"/>
              </w:rPr>
              <w:t>支持不同的角色配置不同</w:t>
            </w:r>
            <w:r>
              <w:rPr>
                <w:rFonts w:hint="eastAsia" w:ascii="宋体" w:hAnsi="宋体"/>
                <w:color w:val="auto"/>
                <w:sz w:val="22"/>
                <w:szCs w:val="22"/>
              </w:rPr>
              <w:t>空间页面</w:t>
            </w:r>
            <w:r>
              <w:rPr>
                <w:rFonts w:ascii="宋体" w:hAnsi="宋体"/>
                <w:color w:val="auto"/>
                <w:sz w:val="22"/>
                <w:szCs w:val="22"/>
              </w:rPr>
              <w:t>，</w:t>
            </w:r>
            <w:r>
              <w:rPr>
                <w:rFonts w:hint="eastAsia" w:ascii="宋体" w:hAnsi="宋体"/>
                <w:color w:val="auto"/>
                <w:sz w:val="22"/>
                <w:szCs w:val="22"/>
              </w:rPr>
              <w:t>并自主配置导航栏内容和</w:t>
            </w:r>
            <w:r>
              <w:rPr>
                <w:rFonts w:ascii="宋体" w:hAnsi="宋体"/>
                <w:color w:val="auto"/>
                <w:sz w:val="22"/>
                <w:szCs w:val="22"/>
              </w:rPr>
              <w:t>工作台栏目</w:t>
            </w:r>
            <w:r>
              <w:rPr>
                <w:rFonts w:hint="eastAsia" w:ascii="宋体" w:hAnsi="宋体"/>
                <w:color w:val="auto"/>
                <w:sz w:val="22"/>
                <w:szCs w:val="22"/>
              </w:rPr>
              <w:t>。</w:t>
            </w:r>
          </w:p>
          <w:p>
            <w:pPr>
              <w:pStyle w:val="20"/>
              <w:numPr>
                <w:ilvl w:val="0"/>
                <w:numId w:val="16"/>
              </w:numPr>
              <w:spacing w:line="276" w:lineRule="auto"/>
              <w:ind w:firstLineChars="0"/>
              <w:rPr>
                <w:rFonts w:ascii="宋体" w:hAnsi="宋体"/>
                <w:color w:val="auto"/>
                <w:sz w:val="22"/>
                <w:szCs w:val="22"/>
              </w:rPr>
            </w:pPr>
            <w:r>
              <w:rPr>
                <w:rFonts w:hint="eastAsia" w:ascii="宋体" w:hAnsi="宋体"/>
                <w:color w:val="auto"/>
                <w:sz w:val="22"/>
                <w:szCs w:val="22"/>
              </w:rPr>
              <w:t>提供</w:t>
            </w:r>
            <w:r>
              <w:rPr>
                <w:rFonts w:ascii="宋体" w:hAnsi="宋体"/>
                <w:color w:val="auto"/>
                <w:sz w:val="22"/>
                <w:szCs w:val="22"/>
              </w:rPr>
              <w:t>移动</w:t>
            </w:r>
            <w:r>
              <w:rPr>
                <w:rFonts w:hint="eastAsia" w:ascii="宋体" w:hAnsi="宋体"/>
                <w:color w:val="auto"/>
                <w:sz w:val="22"/>
                <w:szCs w:val="22"/>
              </w:rPr>
              <w:t>图书馆配置</w:t>
            </w:r>
            <w:r>
              <w:rPr>
                <w:rFonts w:ascii="宋体" w:hAnsi="宋体"/>
                <w:color w:val="auto"/>
                <w:sz w:val="22"/>
                <w:szCs w:val="22"/>
              </w:rPr>
              <w:t>界面，支持单位管理APP首页内容、</w:t>
            </w:r>
            <w:r>
              <w:rPr>
                <w:rFonts w:hint="eastAsia" w:ascii="宋体" w:hAnsi="宋体"/>
                <w:color w:val="auto"/>
                <w:sz w:val="22"/>
                <w:szCs w:val="22"/>
              </w:rPr>
              <w:t>搜索条、轮播图、</w:t>
            </w:r>
            <w:r>
              <w:rPr>
                <w:rFonts w:ascii="宋体" w:hAnsi="宋体"/>
                <w:color w:val="auto"/>
                <w:sz w:val="22"/>
                <w:szCs w:val="22"/>
              </w:rPr>
              <w:t>应用</w:t>
            </w:r>
            <w:r>
              <w:rPr>
                <w:rFonts w:hint="eastAsia" w:ascii="宋体" w:hAnsi="宋体"/>
                <w:color w:val="auto"/>
                <w:sz w:val="22"/>
                <w:szCs w:val="22"/>
              </w:rPr>
              <w:t>、样式等</w:t>
            </w:r>
            <w:r>
              <w:rPr>
                <w:rFonts w:ascii="宋体" w:hAnsi="宋体"/>
                <w:color w:val="auto"/>
                <w:sz w:val="22"/>
                <w:szCs w:val="22"/>
              </w:rPr>
              <w:t>配置。</w:t>
            </w:r>
            <w:r>
              <w:rPr>
                <w:rFonts w:hint="eastAsia" w:ascii="宋体" w:hAnsi="宋体"/>
                <w:color w:val="auto"/>
                <w:sz w:val="22"/>
                <w:szCs w:val="22"/>
              </w:rPr>
              <w:t>配置工具具有模块化、可视化特征。</w:t>
            </w:r>
            <w:r>
              <w:rPr>
                <w:rFonts w:ascii="宋体" w:hAnsi="宋体"/>
                <w:color w:val="auto"/>
                <w:sz w:val="22"/>
                <w:szCs w:val="22"/>
              </w:rPr>
              <w:t>除默认界面外还支持按角色配置移动</w:t>
            </w:r>
            <w:r>
              <w:rPr>
                <w:rFonts w:hint="eastAsia" w:ascii="宋体" w:hAnsi="宋体"/>
                <w:color w:val="auto"/>
                <w:sz w:val="22"/>
                <w:szCs w:val="22"/>
              </w:rPr>
              <w:t>图书馆</w:t>
            </w:r>
            <w:r>
              <w:rPr>
                <w:rFonts w:ascii="宋体" w:hAnsi="宋体"/>
                <w:color w:val="auto"/>
                <w:sz w:val="22"/>
                <w:szCs w:val="22"/>
              </w:rPr>
              <w:t>界面，支持配置校外访客专用首页</w:t>
            </w:r>
            <w:r>
              <w:rPr>
                <w:rFonts w:hint="eastAsia" w:ascii="宋体" w:hAnsi="宋体"/>
                <w:color w:val="auto"/>
                <w:sz w:val="22"/>
                <w:szCs w:val="22"/>
              </w:rPr>
              <w:t>，</w:t>
            </w:r>
            <w:r>
              <w:rPr>
                <w:rFonts w:ascii="宋体" w:hAnsi="宋体"/>
                <w:color w:val="auto"/>
                <w:sz w:val="22"/>
                <w:szCs w:val="22"/>
              </w:rPr>
              <w:t>提供</w:t>
            </w:r>
            <w:r>
              <w:rPr>
                <w:rFonts w:hint="eastAsia" w:ascii="宋体" w:hAnsi="宋体"/>
                <w:color w:val="auto"/>
                <w:sz w:val="22"/>
                <w:szCs w:val="22"/>
              </w:rPr>
              <w:t>不少于</w:t>
            </w:r>
            <w:r>
              <w:rPr>
                <w:rFonts w:ascii="宋体" w:hAnsi="宋体"/>
                <w:color w:val="auto"/>
                <w:sz w:val="22"/>
                <w:szCs w:val="22"/>
              </w:rPr>
              <w:t>4</w:t>
            </w:r>
            <w:r>
              <w:rPr>
                <w:rFonts w:hint="eastAsia" w:ascii="宋体" w:hAnsi="宋体"/>
                <w:color w:val="auto"/>
                <w:sz w:val="22"/>
                <w:szCs w:val="22"/>
              </w:rPr>
              <w:t>套首页</w:t>
            </w:r>
            <w:r>
              <w:rPr>
                <w:rFonts w:ascii="宋体" w:hAnsi="宋体"/>
                <w:color w:val="auto"/>
                <w:sz w:val="22"/>
                <w:szCs w:val="22"/>
              </w:rPr>
              <w:t>模板供</w:t>
            </w:r>
            <w:r>
              <w:rPr>
                <w:rFonts w:hint="eastAsia" w:ascii="宋体" w:hAnsi="宋体"/>
                <w:color w:val="auto"/>
                <w:sz w:val="22"/>
                <w:szCs w:val="22"/>
              </w:rPr>
              <w:t>单位</w:t>
            </w:r>
            <w:r>
              <w:rPr>
                <w:rFonts w:ascii="宋体" w:hAnsi="宋体"/>
                <w:color w:val="auto"/>
                <w:sz w:val="22"/>
                <w:szCs w:val="22"/>
              </w:rPr>
              <w:t>选择。</w:t>
            </w:r>
          </w:p>
          <w:p>
            <w:pPr>
              <w:widowControl/>
              <w:numPr>
                <w:ilvl w:val="0"/>
                <w:numId w:val="16"/>
              </w:numPr>
              <w:spacing w:line="276" w:lineRule="auto"/>
              <w:jc w:val="left"/>
              <w:textAlignment w:val="center"/>
              <w:rPr>
                <w:rFonts w:ascii="宋体" w:hAnsi="宋体"/>
                <w:color w:val="auto"/>
                <w:sz w:val="22"/>
                <w:szCs w:val="22"/>
              </w:rPr>
            </w:pPr>
            <w:r>
              <w:rPr>
                <w:rFonts w:hint="eastAsia" w:ascii="宋体" w:hAnsi="宋体"/>
                <w:color w:val="auto"/>
                <w:sz w:val="22"/>
                <w:szCs w:val="22"/>
              </w:rPr>
              <w:t>提供大数据屏配置界面，</w:t>
            </w:r>
            <w:r>
              <w:rPr>
                <w:rFonts w:ascii="宋体" w:hAnsi="宋体" w:cs="宋体"/>
                <w:color w:val="auto"/>
                <w:sz w:val="22"/>
                <w:szCs w:val="22"/>
              </w:rPr>
              <w:t>自主配置本单位的大数据屏的展示页面，内容模块化，灵活拖拽配置模块，支持单位增加、删减任意模块；效果可视化，所见即所得，可以实时预览效果。</w:t>
            </w:r>
          </w:p>
          <w:p>
            <w:pPr>
              <w:widowControl/>
              <w:numPr>
                <w:ilvl w:val="0"/>
                <w:numId w:val="16"/>
              </w:numPr>
              <w:spacing w:line="276" w:lineRule="auto"/>
              <w:jc w:val="left"/>
              <w:textAlignment w:val="center"/>
              <w:rPr>
                <w:rFonts w:ascii="宋体" w:hAnsi="宋体"/>
                <w:color w:val="auto"/>
                <w:sz w:val="22"/>
                <w:szCs w:val="22"/>
              </w:rPr>
            </w:pPr>
            <w:r>
              <w:rPr>
                <w:rFonts w:hint="eastAsia" w:ascii="宋体" w:hAnsi="宋体"/>
                <w:color w:val="auto"/>
                <w:sz w:val="22"/>
                <w:szCs w:val="22"/>
              </w:rPr>
              <w:t>提供微信端配置界面，</w:t>
            </w:r>
            <w:r>
              <w:rPr>
                <w:rFonts w:ascii="宋体" w:hAnsi="宋体"/>
                <w:color w:val="auto"/>
                <w:sz w:val="22"/>
                <w:szCs w:val="22"/>
              </w:rPr>
              <w:t>支持学校自主配置能在微信中打开的应用列表页面，并生成微信端链接，学校可将链接配置到微信公众号中。</w:t>
            </w:r>
          </w:p>
          <w:p>
            <w:pPr>
              <w:widowControl/>
              <w:spacing w:line="276" w:lineRule="auto"/>
              <w:ind w:left="420"/>
              <w:jc w:val="left"/>
              <w:textAlignment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9</w:t>
            </w:r>
          </w:p>
        </w:tc>
        <w:tc>
          <w:tcPr>
            <w:tcW w:w="636" w:type="pct"/>
            <w:vMerge w:val="continue"/>
            <w:vAlign w:val="center"/>
          </w:tcPr>
          <w:p>
            <w:pPr>
              <w:spacing w:line="276" w:lineRule="auto"/>
              <w:jc w:val="center"/>
              <w:rPr>
                <w:rFonts w:ascii="宋体" w:hAnsi="宋体"/>
                <w:b/>
                <w:color w:val="auto"/>
                <w:sz w:val="22"/>
                <w:szCs w:val="22"/>
              </w:rPr>
            </w:pPr>
          </w:p>
        </w:tc>
        <w:tc>
          <w:tcPr>
            <w:tcW w:w="630" w:type="pct"/>
            <w:vAlign w:val="center"/>
          </w:tcPr>
          <w:p>
            <w:pPr>
              <w:spacing w:line="276" w:lineRule="auto"/>
              <w:jc w:val="center"/>
              <w:rPr>
                <w:rFonts w:ascii="宋体" w:hAnsi="宋体"/>
                <w:b/>
                <w:color w:val="auto"/>
                <w:sz w:val="22"/>
                <w:szCs w:val="22"/>
                <w:highlight w:val="yellow"/>
              </w:rPr>
            </w:pPr>
            <w:r>
              <w:rPr>
                <w:rFonts w:ascii="宋体" w:hAnsi="宋体"/>
                <w:b/>
                <w:color w:val="auto"/>
                <w:sz w:val="22"/>
                <w:szCs w:val="22"/>
              </w:rPr>
              <w:t>智慧门户</w:t>
            </w:r>
          </w:p>
        </w:tc>
        <w:tc>
          <w:tcPr>
            <w:tcW w:w="3357" w:type="pct"/>
          </w:tcPr>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提供网站管理系统，支持管理员新建网站，修改网站的基本信息，删除网站，预览编辑等。</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提供高级设置版块，支持网站挂接自有域名、查看访问统计、设置访问权限、管理员管理等。</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支持图书馆管理员创建多个网站，能够实现不同校区图书馆建设分站。</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采用前后端分离技术，具有可视化页面设计后台，拖拽式页面布局，所见即所得。</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支持预选多种网页风格模板，快速创建生成多个（含部分常用应用模块的）网站页面；单位可设置自己的网站为单位内模板。</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支持自定义设置网站主题色、网站背景等。</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提供网站设计板块，包括基础、应用、布局和全局模块。基础模块包括图标列表、文本列表、图文列表、多图列表、搜索、轮播图、图表、表格八类，用以生成网站应用模块，满足绝大部分网站内容的展现形式。</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各应用模块有独立的设置后台，可以随时、自主地进行应用基本信息设置（应用名称的修改）、应用样式的调整、应用展现细节的调整等操作；提供内容管理功能，可以随时、自主地进行内容数据的添加、编辑、删除操作，结果在门户页面上及时更新。</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支持根据规定的接口规范，模块数据源使用外部数据接口。</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提供数据中心用于图文列表、多图列表、文本列表、图表类应用，单位根据相关产品使用情况可直接选择数据源生成诸如数据库导航、期刊导航、热词词云、词云排行榜、阅读喜好、阅读测评趋势、活动管理、读者荐购、阅读推荐等应用模块。</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本地添加内容自定义编辑器采用行业领先的富文本编辑器，支持富文本线编辑，支持图片、视频、附件、超链接等上传；支持对接云盘文件。</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提供包含专题和课程的资源市场，用于图文列表、多图列表、文本列表类模块数据的添加。</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支持同时对接多种搜索引擎，支持搜索创建为站内搜索工具。</w:t>
            </w:r>
          </w:p>
          <w:p>
            <w:pPr>
              <w:widowControl/>
              <w:numPr>
                <w:ilvl w:val="0"/>
                <w:numId w:val="17"/>
              </w:numPr>
              <w:spacing w:line="276" w:lineRule="auto"/>
              <w:jc w:val="left"/>
              <w:textAlignment w:val="center"/>
              <w:rPr>
                <w:rFonts w:ascii="宋体" w:hAnsi="宋体"/>
                <w:color w:val="auto"/>
                <w:sz w:val="22"/>
                <w:szCs w:val="22"/>
              </w:rPr>
            </w:pPr>
            <w:r>
              <w:rPr>
                <w:rFonts w:ascii="宋体" w:hAnsi="宋体"/>
                <w:color w:val="auto"/>
                <w:sz w:val="22"/>
                <w:szCs w:val="22"/>
              </w:rPr>
              <w:t>图文列表、多图列表、文本列表类应用模块，本地数据管理支持批量导入、数据导出、多分类管理、置顶、发布、拖拽排序、批量编辑、关键词数据筛选；可在多个内容列表页样式中进行选择设置。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10</w:t>
            </w:r>
          </w:p>
        </w:tc>
        <w:tc>
          <w:tcPr>
            <w:tcW w:w="636" w:type="pct"/>
            <w:vMerge w:val="restar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移动图书馆</w:t>
            </w:r>
          </w:p>
        </w:tc>
        <w:tc>
          <w:tcPr>
            <w:tcW w:w="630" w:type="pct"/>
            <w:vAlign w:val="center"/>
          </w:tcPr>
          <w:p>
            <w:pPr>
              <w:spacing w:line="276" w:lineRule="auto"/>
              <w:jc w:val="center"/>
              <w:rPr>
                <w:rFonts w:ascii="宋体" w:hAnsi="宋体"/>
                <w:b/>
                <w:color w:val="auto"/>
                <w:sz w:val="22"/>
                <w:szCs w:val="22"/>
                <w:highlight w:val="yellow"/>
              </w:rPr>
            </w:pPr>
            <w:r>
              <w:rPr>
                <w:rFonts w:hint="eastAsia" w:ascii="宋体" w:hAnsi="宋体"/>
                <w:b/>
                <w:color w:val="auto"/>
                <w:sz w:val="22"/>
                <w:szCs w:val="22"/>
              </w:rPr>
              <w:t>空间管理后台</w:t>
            </w:r>
          </w:p>
        </w:tc>
        <w:tc>
          <w:tcPr>
            <w:tcW w:w="3357" w:type="pct"/>
          </w:tcPr>
          <w:p>
            <w:pPr>
              <w:pStyle w:val="20"/>
              <w:widowControl/>
              <w:numPr>
                <w:ilvl w:val="0"/>
                <w:numId w:val="18"/>
              </w:numPr>
              <w:spacing w:line="276" w:lineRule="auto"/>
              <w:ind w:firstLineChars="0"/>
              <w:jc w:val="left"/>
              <w:rPr>
                <w:rFonts w:ascii="宋体" w:hAnsi="宋体"/>
                <w:color w:val="auto"/>
                <w:sz w:val="22"/>
                <w:szCs w:val="22"/>
              </w:rPr>
            </w:pPr>
            <w:r>
              <w:rPr>
                <w:rFonts w:hint="eastAsia" w:ascii="宋体" w:hAnsi="宋体"/>
                <w:color w:val="auto"/>
                <w:sz w:val="22"/>
                <w:szCs w:val="22"/>
              </w:rPr>
              <w:t>支持创建空间预约，包括空间名称、所在地点、空间图片、分类标签、预约时间、是否预约审批等。</w:t>
            </w:r>
          </w:p>
          <w:p>
            <w:pPr>
              <w:pStyle w:val="20"/>
              <w:widowControl/>
              <w:numPr>
                <w:ilvl w:val="0"/>
                <w:numId w:val="18"/>
              </w:numPr>
              <w:spacing w:line="276" w:lineRule="auto"/>
              <w:ind w:firstLineChars="0"/>
              <w:jc w:val="left"/>
              <w:rPr>
                <w:rFonts w:ascii="宋体" w:hAnsi="宋体"/>
                <w:color w:val="auto"/>
                <w:sz w:val="22"/>
                <w:szCs w:val="22"/>
              </w:rPr>
            </w:pPr>
            <w:r>
              <w:rPr>
                <w:rFonts w:hint="eastAsia" w:ascii="宋体" w:hAnsi="宋体"/>
                <w:color w:val="auto"/>
                <w:sz w:val="22"/>
                <w:szCs w:val="22"/>
              </w:rPr>
              <w:t>支持预约空间信息展示，包括空间名称、图片、地点、设备、容纳人员规模、当前预约状态、创建状态、管理状态、标签等信息。</w:t>
            </w:r>
          </w:p>
          <w:p>
            <w:pPr>
              <w:pStyle w:val="20"/>
              <w:widowControl/>
              <w:numPr>
                <w:ilvl w:val="0"/>
                <w:numId w:val="18"/>
              </w:numPr>
              <w:spacing w:line="276" w:lineRule="auto"/>
              <w:ind w:firstLineChars="0"/>
              <w:jc w:val="left"/>
              <w:rPr>
                <w:rFonts w:ascii="宋体" w:hAnsi="宋体"/>
                <w:color w:val="auto"/>
                <w:sz w:val="22"/>
                <w:szCs w:val="22"/>
              </w:rPr>
            </w:pPr>
            <w:r>
              <w:rPr>
                <w:rFonts w:hint="eastAsia" w:ascii="宋体" w:hAnsi="宋体"/>
                <w:color w:val="auto"/>
                <w:sz w:val="22"/>
                <w:szCs w:val="22"/>
              </w:rPr>
              <w:t>支持线上预约或取消，提供申请预约的信息备注功能，支持查询并管理预约的空间信息。</w:t>
            </w:r>
          </w:p>
          <w:p>
            <w:pPr>
              <w:pStyle w:val="20"/>
              <w:widowControl/>
              <w:numPr>
                <w:ilvl w:val="0"/>
                <w:numId w:val="18"/>
              </w:numPr>
              <w:spacing w:line="276" w:lineRule="auto"/>
              <w:ind w:firstLineChars="0"/>
              <w:jc w:val="left"/>
              <w:rPr>
                <w:rFonts w:ascii="宋体" w:hAnsi="宋体"/>
                <w:color w:val="auto"/>
                <w:sz w:val="22"/>
                <w:szCs w:val="22"/>
              </w:rPr>
            </w:pPr>
            <w:r>
              <w:rPr>
                <w:rFonts w:hint="eastAsia" w:ascii="宋体" w:hAnsi="宋体"/>
                <w:color w:val="auto"/>
                <w:sz w:val="22"/>
                <w:szCs w:val="22"/>
              </w:rPr>
              <w:t>支持单一空间模块预约的管理（如研讨室的预约管理），实现空间使用记录数据的统计，提供数据的导出。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11</w:t>
            </w:r>
          </w:p>
        </w:tc>
        <w:tc>
          <w:tcPr>
            <w:tcW w:w="636" w:type="pct"/>
            <w:vMerge w:val="continue"/>
            <w:vAlign w:val="center"/>
          </w:tcPr>
          <w:p>
            <w:pPr>
              <w:spacing w:line="276" w:lineRule="auto"/>
              <w:jc w:val="center"/>
              <w:rPr>
                <w:rFonts w:ascii="宋体" w:hAnsi="宋体"/>
                <w:b/>
                <w:color w:val="auto"/>
                <w:sz w:val="22"/>
                <w:szCs w:val="22"/>
              </w:rPr>
            </w:pPr>
          </w:p>
        </w:tc>
        <w:tc>
          <w:tcPr>
            <w:tcW w:w="630" w:type="pct"/>
            <w:vAlign w:val="center"/>
          </w:tcPr>
          <w:p>
            <w:pPr>
              <w:spacing w:line="276" w:lineRule="auto"/>
              <w:jc w:val="center"/>
              <w:rPr>
                <w:rFonts w:ascii="宋体" w:hAnsi="宋体"/>
                <w:b/>
                <w:color w:val="auto"/>
                <w:sz w:val="22"/>
                <w:szCs w:val="22"/>
                <w:highlight w:val="yellow"/>
              </w:rPr>
            </w:pPr>
            <w:r>
              <w:rPr>
                <w:rFonts w:hint="eastAsia" w:ascii="宋体" w:hAnsi="宋体"/>
                <w:b/>
                <w:color w:val="auto"/>
                <w:sz w:val="22"/>
                <w:szCs w:val="22"/>
              </w:rPr>
              <w:t>活动管理后台</w:t>
            </w:r>
          </w:p>
        </w:tc>
        <w:tc>
          <w:tcPr>
            <w:tcW w:w="3357" w:type="pct"/>
          </w:tcPr>
          <w:p>
            <w:pPr>
              <w:pStyle w:val="20"/>
              <w:widowControl/>
              <w:numPr>
                <w:ilvl w:val="0"/>
                <w:numId w:val="19"/>
              </w:numPr>
              <w:spacing w:line="276" w:lineRule="auto"/>
              <w:ind w:firstLineChars="0"/>
              <w:jc w:val="left"/>
              <w:rPr>
                <w:rFonts w:ascii="宋体" w:hAnsi="宋体"/>
                <w:color w:val="auto"/>
                <w:sz w:val="22"/>
                <w:szCs w:val="22"/>
              </w:rPr>
            </w:pPr>
            <w:r>
              <w:rPr>
                <w:rFonts w:hint="eastAsia" w:ascii="宋体" w:hAnsi="宋体"/>
                <w:color w:val="auto"/>
                <w:sz w:val="22"/>
                <w:szCs w:val="22"/>
              </w:rPr>
              <w:t>支持展示活动详情信息，包括活动宣传图、名称、时间、地点、主办方、类型、活动状态、报名状态、浏览量、报名量、评论量、评分、集锦、作品展览等信息。</w:t>
            </w:r>
          </w:p>
          <w:p>
            <w:pPr>
              <w:pStyle w:val="20"/>
              <w:widowControl/>
              <w:numPr>
                <w:ilvl w:val="0"/>
                <w:numId w:val="19"/>
              </w:numPr>
              <w:spacing w:line="276" w:lineRule="auto"/>
              <w:ind w:firstLineChars="0"/>
              <w:jc w:val="left"/>
              <w:rPr>
                <w:rFonts w:ascii="宋体" w:hAnsi="宋体"/>
                <w:color w:val="auto"/>
                <w:sz w:val="22"/>
                <w:szCs w:val="22"/>
              </w:rPr>
            </w:pPr>
            <w:r>
              <w:rPr>
                <w:rFonts w:hint="eastAsia" w:ascii="宋体" w:hAnsi="宋体"/>
                <w:color w:val="auto"/>
                <w:sz w:val="22"/>
                <w:szCs w:val="22"/>
              </w:rPr>
              <w:t>支持收藏和转发活动，转发到消息、小组、微信好友、朋友圈、QQ等传播渠道，并提供活动查询和管理功能。</w:t>
            </w:r>
          </w:p>
          <w:p>
            <w:pPr>
              <w:pStyle w:val="20"/>
              <w:widowControl/>
              <w:numPr>
                <w:ilvl w:val="0"/>
                <w:numId w:val="19"/>
              </w:numPr>
              <w:spacing w:line="276" w:lineRule="auto"/>
              <w:ind w:firstLineChars="0"/>
              <w:jc w:val="left"/>
              <w:rPr>
                <w:rFonts w:ascii="宋体" w:hAnsi="宋体"/>
                <w:color w:val="auto"/>
                <w:sz w:val="22"/>
                <w:szCs w:val="22"/>
              </w:rPr>
            </w:pPr>
            <w:r>
              <w:rPr>
                <w:rFonts w:hint="eastAsia" w:ascii="宋体" w:hAnsi="宋体"/>
                <w:color w:val="auto"/>
                <w:sz w:val="22"/>
                <w:szCs w:val="22"/>
              </w:rPr>
              <w:t>支持创建活动，包括设置banner图、标题、时间、地点、类型、主办方、介绍、是否显示报名人数、是否限制报名人数、是否显示报名名单、报名日期限制、报名表单设置、报名审批设置、作品设置、是否开放评论区等活动信息的编辑、支持生成活动二维码。</w:t>
            </w:r>
          </w:p>
          <w:p>
            <w:pPr>
              <w:pStyle w:val="20"/>
              <w:widowControl/>
              <w:numPr>
                <w:ilvl w:val="0"/>
                <w:numId w:val="19"/>
              </w:numPr>
              <w:spacing w:line="276" w:lineRule="auto"/>
              <w:ind w:firstLineChars="0"/>
              <w:jc w:val="left"/>
              <w:rPr>
                <w:rFonts w:ascii="宋体" w:hAnsi="宋体"/>
                <w:color w:val="auto"/>
                <w:sz w:val="22"/>
                <w:szCs w:val="22"/>
              </w:rPr>
            </w:pPr>
            <w:r>
              <w:rPr>
                <w:rFonts w:hint="eastAsia" w:ascii="宋体" w:hAnsi="宋体"/>
                <w:color w:val="auto"/>
                <w:sz w:val="22"/>
                <w:szCs w:val="22"/>
              </w:rPr>
              <w:t>提供单一活动的管理，包括发活动通知、发签到、报名名单、签到统计、数据导出、活动编辑、活动集锦管理、活动发布审核、下架活动等。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12</w:t>
            </w:r>
          </w:p>
        </w:tc>
        <w:tc>
          <w:tcPr>
            <w:tcW w:w="636"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分析决策</w:t>
            </w: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分析决策</w:t>
            </w:r>
          </w:p>
        </w:tc>
        <w:tc>
          <w:tcPr>
            <w:tcW w:w="3357" w:type="pct"/>
          </w:tcPr>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具备综合分析：对本馆资源保障、生命周期、用户行为的统计分析进行整合，提供综合看板，包括资源馆藏综合看板和资源使用综合看板；提供读者综合分析，包括按照用户类型/单位/院系/文化程度/性别等分类方式对读者成分的分析，以及读者的增长情况；提供门户综合分析，统一检索的热门检索词统计；提供经费综合分析，各资源的经费支出情况，资源下资料类型的采购比例。</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资源馆藏综合分析展示分馆数量、馆藏地数量，纸质文献的种、册、价及电子资源库资源总量、独有资源量。按学科、馆藏分布，多维度统计种、册、价信息。</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资源使用统计，包含纸质馆藏借阅量、检索量、电子资源下载量、借阅趋势、借阅变化、热门借阅、热门资源库、热门检索词统计。</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经费综合分析除了显示当前总经费、电子资源总经费、纸质资源总经费及可支配经费外，还通过图形方式表现，并支持用柱状图或折线图展示经费支出变化趋势。</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 xml:space="preserve">提供从资源保障、生命周期、用户行为的相关维度统计分析的报表。数据的图形化转换展示，支持数据导出与打印。 </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支持从资源保障角度进行统计分析：</w:t>
            </w:r>
          </w:p>
          <w:p>
            <w:pPr>
              <w:widowControl/>
              <w:spacing w:line="276" w:lineRule="auto"/>
              <w:ind w:left="420"/>
              <w:jc w:val="left"/>
              <w:textAlignment w:val="center"/>
              <w:rPr>
                <w:rFonts w:ascii="宋体" w:hAnsi="宋体"/>
                <w:color w:val="auto"/>
                <w:sz w:val="22"/>
                <w:szCs w:val="22"/>
              </w:rPr>
            </w:pPr>
            <w:r>
              <w:rPr>
                <w:rFonts w:ascii="宋体" w:hAnsi="宋体"/>
                <w:color w:val="auto"/>
                <w:sz w:val="22"/>
                <w:szCs w:val="22"/>
              </w:rPr>
              <w:t>（1）纸质资源、电子资源、数字资产的馆藏情况，按照馆藏地（电子资源库）、资料类型、分类模板、学科等条件，精确查询对应馆藏地（电子资源库）、资料类型、分类模板、学科下资源的种、册等信息；提供资源增长情况分析。</w:t>
            </w:r>
          </w:p>
          <w:p>
            <w:pPr>
              <w:widowControl/>
              <w:spacing w:line="276" w:lineRule="auto"/>
              <w:ind w:left="420"/>
              <w:jc w:val="left"/>
              <w:textAlignment w:val="center"/>
              <w:rPr>
                <w:rFonts w:ascii="宋体" w:hAnsi="宋体"/>
                <w:color w:val="auto"/>
                <w:sz w:val="22"/>
                <w:szCs w:val="22"/>
              </w:rPr>
            </w:pPr>
            <w:r>
              <w:rPr>
                <w:rFonts w:ascii="宋体" w:hAnsi="宋体"/>
                <w:color w:val="auto"/>
                <w:sz w:val="22"/>
                <w:szCs w:val="22"/>
              </w:rPr>
              <w:t>（2）支持学科保障分析，本馆采购资源与中央知识库JCR、ESI、SCOPUS核心期刊收录标准，SSCI、SCIE、EI等核心索引收录标准比对，标记核心资源，提供本馆的核心出版物匹配分析与学科保障分析。</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支持从资源生命周期角度进行统计分析：</w:t>
            </w:r>
          </w:p>
          <w:p>
            <w:pPr>
              <w:widowControl/>
              <w:spacing w:line="276" w:lineRule="auto"/>
              <w:ind w:left="420"/>
              <w:jc w:val="left"/>
              <w:textAlignment w:val="center"/>
              <w:rPr>
                <w:rFonts w:ascii="宋体" w:hAnsi="宋体"/>
                <w:color w:val="auto"/>
                <w:sz w:val="22"/>
                <w:szCs w:val="22"/>
              </w:rPr>
            </w:pPr>
            <w:r>
              <w:rPr>
                <w:rFonts w:ascii="宋体" w:hAnsi="宋体"/>
                <w:color w:val="auto"/>
                <w:sz w:val="22"/>
                <w:szCs w:val="22"/>
              </w:rPr>
              <w:t>（1）资源采购分析——从资源采购的角度统计分析纸电资源采购情况及经费使用情况。纸质资源包括书刊来源、经费到书、经费支出和订购逾期未到统计；电子资源包括订购及资源库采购涨幅统计。多维度统计分析经费的使用情况以提供经费预警；通过数形化的展示电子资源增长量。</w:t>
            </w:r>
          </w:p>
          <w:p>
            <w:pPr>
              <w:widowControl/>
              <w:spacing w:line="276" w:lineRule="auto"/>
              <w:ind w:left="420"/>
              <w:jc w:val="left"/>
              <w:textAlignment w:val="center"/>
              <w:rPr>
                <w:rFonts w:ascii="宋体" w:hAnsi="宋体"/>
                <w:color w:val="auto"/>
                <w:sz w:val="22"/>
                <w:szCs w:val="22"/>
              </w:rPr>
            </w:pPr>
            <w:r>
              <w:rPr>
                <w:rFonts w:ascii="宋体" w:hAnsi="宋体"/>
                <w:color w:val="auto"/>
                <w:sz w:val="22"/>
                <w:szCs w:val="22"/>
              </w:rPr>
              <w:t>（2）资源使用分析——统计各类型资源的使用数据并进行分析，支持多维度统计分析，包括纸质资源的借还情况、阅览情况、文献使用情况、电子资源库、学科分类使用。</w:t>
            </w:r>
            <w:r>
              <w:rPr>
                <w:rFonts w:hint="eastAsia" w:ascii="宋体" w:hAnsi="宋体"/>
                <w:color w:val="auto"/>
                <w:sz w:val="22"/>
                <w:szCs w:val="22"/>
              </w:rPr>
              <w:t>同时展示出检索词排行、热门文章关键词排行等。</w:t>
            </w:r>
          </w:p>
          <w:p>
            <w:pPr>
              <w:widowControl/>
              <w:numPr>
                <w:ilvl w:val="0"/>
                <w:numId w:val="20"/>
              </w:numPr>
              <w:spacing w:line="276" w:lineRule="auto"/>
              <w:jc w:val="left"/>
              <w:textAlignment w:val="center"/>
              <w:rPr>
                <w:rFonts w:ascii="宋体" w:hAnsi="宋体"/>
                <w:color w:val="auto"/>
                <w:sz w:val="22"/>
                <w:szCs w:val="22"/>
              </w:rPr>
            </w:pPr>
            <w:r>
              <w:rPr>
                <w:rFonts w:hint="eastAsia" w:ascii="宋体" w:hAnsi="宋体"/>
                <w:color w:val="auto"/>
                <w:sz w:val="22"/>
                <w:szCs w:val="22"/>
              </w:rPr>
              <w:t>支持本馆纸电图书综合对比分析，按照中图分类或教育部学科分类进行分析，中图分类可细化到二级三级分类，分析得出本馆图书馆藏结构、本馆图书出版年份结构、本馆图书出版社分布等数据情况。</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支持从用户行为角度进行统计分析：可按不同的分组条件对比用户行为</w:t>
            </w:r>
            <w:r>
              <w:rPr>
                <w:rFonts w:hint="eastAsia" w:ascii="宋体" w:hAnsi="宋体"/>
                <w:color w:val="auto"/>
                <w:sz w:val="22"/>
                <w:szCs w:val="22"/>
              </w:rPr>
              <w:t>，</w:t>
            </w:r>
            <w:r>
              <w:rPr>
                <w:rFonts w:ascii="宋体" w:hAnsi="宋体"/>
                <w:color w:val="auto"/>
                <w:sz w:val="22"/>
                <w:szCs w:val="22"/>
              </w:rPr>
              <w:t>包括电子资源用户访问统计、用户分类统计、用户活跃排行；纸质资源读者借还统计、读者借阅量分析、读者排行榜。</w:t>
            </w:r>
          </w:p>
          <w:p>
            <w:pPr>
              <w:widowControl/>
              <w:numPr>
                <w:ilvl w:val="0"/>
                <w:numId w:val="20"/>
              </w:numPr>
              <w:spacing w:line="276" w:lineRule="auto"/>
              <w:jc w:val="left"/>
              <w:textAlignment w:val="center"/>
              <w:rPr>
                <w:rFonts w:ascii="宋体" w:hAnsi="宋体"/>
                <w:color w:val="auto"/>
                <w:sz w:val="22"/>
                <w:szCs w:val="22"/>
              </w:rPr>
            </w:pPr>
            <w:r>
              <w:rPr>
                <w:rFonts w:ascii="宋体" w:hAnsi="宋体"/>
                <w:color w:val="auto"/>
                <w:sz w:val="22"/>
                <w:szCs w:val="22"/>
              </w:rPr>
              <w:t>提供系统运行日志。包括账目明细、注册业务结算单、借还行为日志、工作人员操作日志；按工作人员、工作台、业务类型进行工作量统计等。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bCs/>
                <w:color w:val="auto"/>
                <w:sz w:val="22"/>
                <w:szCs w:val="22"/>
              </w:rPr>
            </w:pPr>
            <w:r>
              <w:rPr>
                <w:rFonts w:ascii="宋体" w:hAnsi="宋体"/>
                <w:b/>
                <w:color w:val="auto"/>
                <w:sz w:val="22"/>
                <w:szCs w:val="22"/>
              </w:rPr>
              <w:t>13</w:t>
            </w:r>
          </w:p>
        </w:tc>
        <w:tc>
          <w:tcPr>
            <w:tcW w:w="636" w:type="pct"/>
            <w:vMerge w:val="restart"/>
            <w:vAlign w:val="center"/>
          </w:tcPr>
          <w:p>
            <w:pPr>
              <w:spacing w:line="276" w:lineRule="auto"/>
              <w:jc w:val="center"/>
              <w:rPr>
                <w:rFonts w:ascii="宋体" w:hAnsi="宋体"/>
                <w:b/>
                <w:bCs/>
                <w:color w:val="auto"/>
                <w:sz w:val="22"/>
                <w:szCs w:val="22"/>
              </w:rPr>
            </w:pPr>
            <w:r>
              <w:rPr>
                <w:rFonts w:hint="eastAsia" w:ascii="宋体" w:hAnsi="宋体"/>
                <w:b/>
                <w:bCs/>
                <w:color w:val="auto"/>
                <w:sz w:val="22"/>
                <w:szCs w:val="22"/>
              </w:rPr>
              <w:t>综合运行监控</w:t>
            </w: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今日数据总览</w:t>
            </w:r>
          </w:p>
        </w:tc>
        <w:tc>
          <w:tcPr>
            <w:tcW w:w="3357" w:type="pct"/>
          </w:tcPr>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展示图书馆全机构和院系分馆的当日数据图表，可选择全部馆或单一分馆。</w:t>
            </w:r>
          </w:p>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展示当日时间信息，并支持按日选择其他时间，进行切换展示所有当日数据图表。</w:t>
            </w:r>
          </w:p>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展示当日图书馆相关数据总量，包括今日到馆人次（需馆配合提供门禁数据）、今日办证人数（新证与退证）、今日借还册数（借出与还入）、今日馆藏增量（种和册）、今日数字访问（OPAC访问PV与UV，馆配合提供官网、微信等数据，可一并统计展示）。</w:t>
            </w:r>
          </w:p>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今日读者入馆小时柱状图，需馆配合提供门禁数据，展示今日小时入馆读者数量柱状图，支持展示昨日曲线图进行对比，同时展示今日、昨日、本年到馆总人次。</w:t>
            </w:r>
          </w:p>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展示今日办证与退证（注销），小时人数数据图，支持展示昨日曲线图进行对比，同时展示今日、昨日、本年的办证与退证总人数。</w:t>
            </w:r>
          </w:p>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展示今日读者借还册次，小时数据图，支持展示昨日曲线图进行对比，同时展示今日、昨日、本年的借还册次总量。</w:t>
            </w:r>
          </w:p>
          <w:p>
            <w:pPr>
              <w:pStyle w:val="20"/>
              <w:numPr>
                <w:ilvl w:val="0"/>
                <w:numId w:val="21"/>
              </w:numPr>
              <w:spacing w:line="276" w:lineRule="auto"/>
              <w:ind w:firstLineChars="0"/>
              <w:rPr>
                <w:rFonts w:ascii="宋体" w:hAnsi="宋体"/>
                <w:color w:val="auto"/>
                <w:sz w:val="22"/>
                <w:szCs w:val="22"/>
              </w:rPr>
            </w:pPr>
            <w:r>
              <w:rPr>
                <w:rFonts w:hint="eastAsia" w:ascii="宋体" w:hAnsi="宋体"/>
                <w:color w:val="auto"/>
                <w:sz w:val="22"/>
                <w:szCs w:val="22"/>
              </w:rPr>
              <w:t>展示今日数字访问PV与UV，小时数据图，支持展示昨日曲线图进行对比，同时展示今日、昨日、本年数字访问的PV和UV总量数据。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14</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借还书</w:t>
            </w:r>
          </w:p>
          <w:p>
            <w:pPr>
              <w:spacing w:line="276" w:lineRule="auto"/>
              <w:jc w:val="center"/>
              <w:rPr>
                <w:rFonts w:ascii="宋体" w:hAnsi="宋体"/>
                <w:b/>
                <w:color w:val="auto"/>
                <w:sz w:val="22"/>
                <w:szCs w:val="22"/>
              </w:rPr>
            </w:pPr>
            <w:r>
              <w:rPr>
                <w:rFonts w:hint="eastAsia" w:ascii="宋体" w:hAnsi="宋体"/>
                <w:b/>
                <w:color w:val="auto"/>
                <w:sz w:val="22"/>
                <w:szCs w:val="22"/>
              </w:rPr>
              <w:t>数据总览</w:t>
            </w:r>
          </w:p>
        </w:tc>
        <w:tc>
          <w:tcPr>
            <w:tcW w:w="3357" w:type="pct"/>
          </w:tcPr>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展示图书馆全机构的借还数据，并进行图表化展示。</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时间选择插件，支持可基于年、月、日选择的时间段插件。</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展示机构的借还数据图，采用借和还双柱状图展示，基于时间选择条件，同时展示人均借阅量和册均借阅周期。</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展示时间条件内的，机构的平均借还小时图，统计2</w:t>
            </w:r>
            <w:r>
              <w:rPr>
                <w:rFonts w:ascii="宋体" w:hAnsi="宋体" w:cs="宋体"/>
                <w:color w:val="auto"/>
                <w:sz w:val="22"/>
                <w:szCs w:val="22"/>
              </w:rPr>
              <w:t>4</w:t>
            </w:r>
            <w:r>
              <w:rPr>
                <w:rFonts w:hint="eastAsia" w:ascii="宋体" w:hAnsi="宋体" w:cs="宋体"/>
                <w:color w:val="auto"/>
                <w:sz w:val="22"/>
                <w:szCs w:val="22"/>
              </w:rPr>
              <w:t>小时平均的借还量数据展示。</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展示时间条件内的，各馆总借还量，采用地图模式展示，将各分馆对应地图点，并进行排名。</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展示借书册数分布占比，</w:t>
            </w:r>
            <w:r>
              <w:rPr>
                <w:rFonts w:ascii="宋体" w:hAnsi="宋体" w:cs="Helvetica"/>
                <w:color w:val="auto"/>
                <w:sz w:val="22"/>
                <w:szCs w:val="22"/>
                <w:shd w:val="clear" w:color="auto" w:fill="FFFFFF"/>
              </w:rPr>
              <w:t>按各分馆占比进行分布统计</w:t>
            </w:r>
            <w:r>
              <w:rPr>
                <w:rFonts w:hint="eastAsia" w:ascii="宋体" w:hAnsi="宋体" w:cs="Helvetica"/>
                <w:color w:val="auto"/>
                <w:sz w:val="22"/>
                <w:szCs w:val="22"/>
                <w:shd w:val="clear" w:color="auto" w:fill="FFFFFF"/>
              </w:rPr>
              <w:t>，以饼状图方式进行展示借出与还入的各分馆占比。</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展示时间条件内机构的分类借阅排行榜，按中图法2</w:t>
            </w:r>
            <w:r>
              <w:rPr>
                <w:rFonts w:ascii="宋体" w:hAnsi="宋体" w:cs="宋体"/>
                <w:color w:val="auto"/>
                <w:sz w:val="22"/>
                <w:szCs w:val="22"/>
              </w:rPr>
              <w:t>2</w:t>
            </w:r>
            <w:r>
              <w:rPr>
                <w:rFonts w:hint="eastAsia" w:ascii="宋体" w:hAnsi="宋体" w:cs="宋体"/>
                <w:color w:val="auto"/>
                <w:sz w:val="22"/>
                <w:szCs w:val="22"/>
              </w:rPr>
              <w:t>大类，以列表形式统计借还册次数。</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展示时间条件内机构的图书馆借阅排行榜，以列表形式展示t</w:t>
            </w:r>
            <w:r>
              <w:rPr>
                <w:rFonts w:ascii="宋体" w:hAnsi="宋体" w:cs="宋体"/>
                <w:color w:val="auto"/>
                <w:sz w:val="22"/>
                <w:szCs w:val="22"/>
              </w:rPr>
              <w:t>op10</w:t>
            </w:r>
            <w:r>
              <w:rPr>
                <w:rFonts w:hint="eastAsia" w:ascii="宋体" w:hAnsi="宋体" w:cs="宋体"/>
                <w:color w:val="auto"/>
                <w:sz w:val="22"/>
                <w:szCs w:val="22"/>
              </w:rPr>
              <w:t>借阅图书，包含题名、作者、出版社、索书号。</w:t>
            </w:r>
          </w:p>
          <w:p>
            <w:pPr>
              <w:pStyle w:val="20"/>
              <w:numPr>
                <w:ilvl w:val="0"/>
                <w:numId w:val="22"/>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展示时间条件内机构的读者借阅排行榜，以列表形式展示t</w:t>
            </w:r>
            <w:r>
              <w:rPr>
                <w:rFonts w:ascii="宋体" w:hAnsi="宋体" w:cs="宋体"/>
                <w:color w:val="auto"/>
                <w:sz w:val="22"/>
                <w:szCs w:val="22"/>
              </w:rPr>
              <w:t>op10</w:t>
            </w:r>
            <w:r>
              <w:rPr>
                <w:rFonts w:hint="eastAsia" w:ascii="宋体" w:hAnsi="宋体" w:cs="宋体"/>
                <w:color w:val="auto"/>
                <w:sz w:val="22"/>
                <w:szCs w:val="22"/>
              </w:rPr>
              <w:t>借阅读者，包含读者名，借阅量数。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15</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馆藏情况总览</w:t>
            </w:r>
          </w:p>
        </w:tc>
        <w:tc>
          <w:tcPr>
            <w:tcW w:w="3357" w:type="pct"/>
          </w:tcPr>
          <w:p>
            <w:pPr>
              <w:pStyle w:val="20"/>
              <w:numPr>
                <w:ilvl w:val="0"/>
                <w:numId w:val="23"/>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展示机构的馆藏数据，包括纸质图书馆藏种和册，纸质期刊馆藏种和册，电子资源库（中文和西文），总分馆馆藏地（分馆数与馆藏地数）。</w:t>
            </w:r>
          </w:p>
          <w:p>
            <w:pPr>
              <w:pStyle w:val="20"/>
              <w:numPr>
                <w:ilvl w:val="0"/>
                <w:numId w:val="23"/>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展示各分馆的馆藏数据，展示图书、期刊的种、册数。期刊计算以过刊计算，采用地图模式展示，将各分馆对应地图点，并进行排名。</w:t>
            </w:r>
          </w:p>
          <w:p>
            <w:pPr>
              <w:pStyle w:val="20"/>
              <w:numPr>
                <w:ilvl w:val="0"/>
                <w:numId w:val="23"/>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展示纸本馆藏分类分布占比，按中图法2</w:t>
            </w:r>
            <w:r>
              <w:rPr>
                <w:rFonts w:ascii="宋体" w:hAnsi="宋体" w:cs="宋体"/>
                <w:color w:val="auto"/>
                <w:sz w:val="22"/>
                <w:szCs w:val="22"/>
              </w:rPr>
              <w:t>2</w:t>
            </w:r>
            <w:r>
              <w:rPr>
                <w:rFonts w:hint="eastAsia" w:ascii="宋体" w:hAnsi="宋体" w:cs="宋体"/>
                <w:color w:val="auto"/>
                <w:sz w:val="22"/>
                <w:szCs w:val="22"/>
              </w:rPr>
              <w:t>大类，以饼状图展示各分类占比情况，分种和册。</w:t>
            </w:r>
          </w:p>
          <w:p>
            <w:pPr>
              <w:pStyle w:val="20"/>
              <w:numPr>
                <w:ilvl w:val="0"/>
                <w:numId w:val="23"/>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展示纸本馆藏语种分布占比，以饼状图展示各语种馆藏占比情况，分种和册。</w:t>
            </w:r>
          </w:p>
          <w:p>
            <w:pPr>
              <w:pStyle w:val="20"/>
              <w:numPr>
                <w:ilvl w:val="0"/>
                <w:numId w:val="23"/>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展示机构的纸本馆藏出版年分布折线图。</w:t>
            </w:r>
          </w:p>
          <w:p>
            <w:pPr>
              <w:pStyle w:val="20"/>
              <w:numPr>
                <w:ilvl w:val="0"/>
                <w:numId w:val="23"/>
              </w:numPr>
              <w:spacing w:line="276" w:lineRule="auto"/>
              <w:ind w:firstLineChars="0"/>
              <w:rPr>
                <w:rFonts w:ascii="宋体" w:hAnsi="宋体" w:cs="宋体"/>
                <w:color w:val="auto"/>
                <w:sz w:val="22"/>
                <w:szCs w:val="22"/>
              </w:rPr>
            </w:pPr>
            <w:r>
              <w:rPr>
                <w:rFonts w:hint="eastAsia" w:ascii="宋体" w:hAnsi="宋体" w:cs="宋体"/>
                <w:color w:val="auto"/>
                <w:sz w:val="22"/>
                <w:szCs w:val="22"/>
              </w:rPr>
              <w:t>基于时间条件，展示纸本馆藏总量与增量的种、册柱状图。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16</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经费情况总览</w:t>
            </w:r>
          </w:p>
        </w:tc>
        <w:tc>
          <w:tcPr>
            <w:tcW w:w="3357" w:type="pct"/>
          </w:tcPr>
          <w:p>
            <w:pPr>
              <w:pStyle w:val="20"/>
              <w:numPr>
                <w:ilvl w:val="0"/>
                <w:numId w:val="24"/>
              </w:numPr>
              <w:spacing w:line="276" w:lineRule="auto"/>
              <w:ind w:firstLineChars="0"/>
              <w:rPr>
                <w:rFonts w:ascii="宋体" w:hAnsi="宋体" w:cs="宋体"/>
                <w:color w:val="auto"/>
                <w:sz w:val="22"/>
                <w:szCs w:val="22"/>
              </w:rPr>
            </w:pPr>
            <w:r>
              <w:rPr>
                <w:rFonts w:hint="eastAsia" w:ascii="宋体" w:hAnsi="宋体" w:cs="宋体"/>
                <w:color w:val="auto"/>
                <w:sz w:val="22"/>
                <w:szCs w:val="22"/>
              </w:rPr>
              <w:t>基于馆情填报系统，统计经费数据，并进行图表展示。</w:t>
            </w:r>
          </w:p>
          <w:p>
            <w:pPr>
              <w:pStyle w:val="20"/>
              <w:numPr>
                <w:ilvl w:val="0"/>
                <w:numId w:val="24"/>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展示近十年的经费收入与支出折线图。</w:t>
            </w:r>
          </w:p>
          <w:p>
            <w:pPr>
              <w:pStyle w:val="20"/>
              <w:numPr>
                <w:ilvl w:val="0"/>
                <w:numId w:val="24"/>
              </w:numPr>
              <w:spacing w:line="276" w:lineRule="auto"/>
              <w:ind w:firstLineChars="0"/>
              <w:rPr>
                <w:rFonts w:ascii="宋体" w:hAnsi="宋体" w:cs="宋体"/>
                <w:color w:val="auto"/>
                <w:sz w:val="22"/>
                <w:szCs w:val="22"/>
              </w:rPr>
            </w:pPr>
            <w:r>
              <w:rPr>
                <w:rFonts w:hint="eastAsia" w:ascii="宋体" w:hAnsi="宋体" w:cs="宋体"/>
                <w:color w:val="auto"/>
                <w:sz w:val="22"/>
                <w:szCs w:val="22"/>
              </w:rPr>
              <w:t>展示经费收入和支出各分类的数据，采用饼状图展示。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17</w:t>
            </w:r>
          </w:p>
        </w:tc>
        <w:tc>
          <w:tcPr>
            <w:tcW w:w="636" w:type="pct"/>
            <w:vMerge w:val="continue"/>
            <w:vAlign w:val="center"/>
          </w:tcPr>
          <w:p>
            <w:pPr>
              <w:spacing w:line="276" w:lineRule="auto"/>
              <w:jc w:val="center"/>
              <w:rPr>
                <w:rFonts w:ascii="宋体" w:hAnsi="宋体"/>
                <w:b/>
                <w:bCs/>
                <w:color w:val="auto"/>
                <w:sz w:val="22"/>
                <w:szCs w:val="22"/>
              </w:rPr>
            </w:pP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读者行为监控</w:t>
            </w:r>
          </w:p>
        </w:tc>
        <w:tc>
          <w:tcPr>
            <w:tcW w:w="3357" w:type="pct"/>
          </w:tcPr>
          <w:p>
            <w:pPr>
              <w:pStyle w:val="20"/>
              <w:widowControl/>
              <w:numPr>
                <w:ilvl w:val="0"/>
                <w:numId w:val="25"/>
              </w:numPr>
              <w:shd w:val="clear" w:color="auto" w:fill="FFFFFF"/>
              <w:spacing w:line="276" w:lineRule="auto"/>
              <w:ind w:firstLineChars="0"/>
              <w:jc w:val="left"/>
              <w:rPr>
                <w:rFonts w:ascii="宋体" w:hAnsi="宋体" w:cs="Helvetica"/>
                <w:color w:val="auto"/>
                <w:sz w:val="22"/>
                <w:szCs w:val="22"/>
                <w:shd w:val="clear" w:color="auto" w:fill="FFFFFF"/>
              </w:rPr>
            </w:pPr>
            <w:r>
              <w:rPr>
                <w:rFonts w:ascii="宋体" w:hAnsi="宋体" w:cs="Helvetica"/>
                <w:color w:val="auto"/>
                <w:sz w:val="22"/>
                <w:szCs w:val="22"/>
                <w:shd w:val="clear" w:color="auto" w:fill="FFFFFF"/>
              </w:rPr>
              <w:t>读者热门检索词监控展示统一检索上的热门检索词，以云图的方式展现</w:t>
            </w:r>
            <w:r>
              <w:rPr>
                <w:rFonts w:hint="eastAsia" w:ascii="宋体" w:hAnsi="宋体" w:cs="Helvetica"/>
                <w:color w:val="auto"/>
                <w:sz w:val="22"/>
                <w:szCs w:val="22"/>
                <w:shd w:val="clear" w:color="auto" w:fill="FFFFFF"/>
              </w:rPr>
              <w:t>；</w:t>
            </w:r>
            <w:r>
              <w:rPr>
                <w:rFonts w:ascii="宋体" w:hAnsi="宋体" w:cs="Helvetica"/>
                <w:color w:val="auto"/>
                <w:sz w:val="22"/>
                <w:szCs w:val="22"/>
                <w:shd w:val="clear" w:color="auto" w:fill="FFFFFF"/>
              </w:rPr>
              <w:t>读者排行榜展示借阅量最高的10位读者信息，支持当月与当年，按借阅量统计</w:t>
            </w:r>
            <w:r>
              <w:rPr>
                <w:rFonts w:hint="eastAsia" w:ascii="宋体" w:hAnsi="宋体" w:cs="Helvetica"/>
                <w:color w:val="auto"/>
                <w:sz w:val="22"/>
                <w:szCs w:val="22"/>
                <w:shd w:val="clear" w:color="auto" w:fill="FFFFFF"/>
              </w:rPr>
              <w:t>。</w:t>
            </w:r>
          </w:p>
          <w:p>
            <w:pPr>
              <w:pStyle w:val="20"/>
              <w:widowControl/>
              <w:numPr>
                <w:ilvl w:val="0"/>
                <w:numId w:val="25"/>
              </w:numPr>
              <w:shd w:val="clear" w:color="auto" w:fill="FFFFFF"/>
              <w:spacing w:line="276" w:lineRule="auto"/>
              <w:ind w:firstLineChars="0"/>
              <w:jc w:val="left"/>
              <w:rPr>
                <w:rFonts w:ascii="宋体" w:hAnsi="宋体" w:cs="Helvetica"/>
                <w:color w:val="auto"/>
                <w:sz w:val="22"/>
                <w:szCs w:val="22"/>
                <w:shd w:val="clear" w:color="auto" w:fill="FFFFFF"/>
              </w:rPr>
            </w:pPr>
            <w:r>
              <w:rPr>
                <w:rFonts w:ascii="宋体" w:hAnsi="宋体" w:cs="Helvetica"/>
                <w:color w:val="auto"/>
                <w:sz w:val="22"/>
                <w:szCs w:val="22"/>
                <w:shd w:val="clear" w:color="auto" w:fill="FFFFFF"/>
              </w:rPr>
              <w:t>展示统一检索PV与UV数据量</w:t>
            </w:r>
            <w:r>
              <w:rPr>
                <w:rFonts w:hint="eastAsia" w:ascii="宋体" w:hAnsi="宋体" w:cs="Helvetica"/>
                <w:color w:val="auto"/>
                <w:sz w:val="22"/>
                <w:szCs w:val="22"/>
                <w:shd w:val="clear" w:color="auto" w:fill="FFFFFF"/>
              </w:rPr>
              <w:t>。</w:t>
            </w:r>
          </w:p>
          <w:p>
            <w:pPr>
              <w:pStyle w:val="20"/>
              <w:numPr>
                <w:ilvl w:val="0"/>
                <w:numId w:val="25"/>
              </w:numPr>
              <w:spacing w:line="276" w:lineRule="auto"/>
              <w:ind w:firstLineChars="0"/>
              <w:rPr>
                <w:rFonts w:ascii="宋体" w:hAnsi="宋体"/>
                <w:color w:val="auto"/>
                <w:sz w:val="22"/>
                <w:szCs w:val="22"/>
              </w:rPr>
            </w:pPr>
            <w:r>
              <w:rPr>
                <w:rFonts w:ascii="宋体" w:hAnsi="宋体" w:cs="Helvetica"/>
                <w:color w:val="auto"/>
                <w:sz w:val="22"/>
                <w:szCs w:val="22"/>
                <w:shd w:val="clear" w:color="auto" w:fill="FFFFFF"/>
              </w:rPr>
              <w:t>统计读者预约、委托、荐购次数</w:t>
            </w:r>
            <w:r>
              <w:rPr>
                <w:rFonts w:hint="eastAsia" w:ascii="宋体" w:hAnsi="宋体" w:cs="Helvetica"/>
                <w:color w:val="auto"/>
                <w:sz w:val="22"/>
                <w:szCs w:val="2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77" w:type="pct"/>
            <w:vAlign w:val="center"/>
          </w:tcPr>
          <w:p>
            <w:pPr>
              <w:spacing w:line="276" w:lineRule="auto"/>
              <w:jc w:val="center"/>
              <w:rPr>
                <w:rFonts w:ascii="宋体" w:hAnsi="宋体"/>
                <w:b/>
                <w:color w:val="auto"/>
                <w:sz w:val="22"/>
                <w:szCs w:val="22"/>
              </w:rPr>
            </w:pPr>
            <w:r>
              <w:rPr>
                <w:rFonts w:ascii="宋体" w:hAnsi="宋体"/>
                <w:b/>
                <w:color w:val="auto"/>
                <w:sz w:val="22"/>
                <w:szCs w:val="22"/>
              </w:rPr>
              <w:t>18</w:t>
            </w:r>
          </w:p>
        </w:tc>
        <w:tc>
          <w:tcPr>
            <w:tcW w:w="636"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系统设置</w:t>
            </w:r>
          </w:p>
        </w:tc>
        <w:tc>
          <w:tcPr>
            <w:tcW w:w="630" w:type="pct"/>
            <w:vAlign w:val="center"/>
          </w:tcPr>
          <w:p>
            <w:pPr>
              <w:spacing w:line="276" w:lineRule="auto"/>
              <w:jc w:val="center"/>
              <w:rPr>
                <w:rFonts w:ascii="宋体" w:hAnsi="宋体"/>
                <w:b/>
                <w:color w:val="auto"/>
                <w:sz w:val="22"/>
                <w:szCs w:val="22"/>
              </w:rPr>
            </w:pPr>
            <w:r>
              <w:rPr>
                <w:rFonts w:hint="eastAsia" w:ascii="宋体" w:hAnsi="宋体"/>
                <w:b/>
                <w:color w:val="auto"/>
                <w:sz w:val="22"/>
                <w:szCs w:val="22"/>
              </w:rPr>
              <w:t>系统设置</w:t>
            </w:r>
          </w:p>
        </w:tc>
        <w:tc>
          <w:tcPr>
            <w:tcW w:w="3357" w:type="pct"/>
          </w:tcPr>
          <w:p>
            <w:pPr>
              <w:widowControl/>
              <w:numPr>
                <w:ilvl w:val="0"/>
                <w:numId w:val="26"/>
              </w:numPr>
              <w:spacing w:line="276" w:lineRule="auto"/>
              <w:jc w:val="left"/>
              <w:textAlignment w:val="center"/>
              <w:rPr>
                <w:rFonts w:ascii="宋体" w:hAnsi="宋体"/>
                <w:color w:val="auto"/>
                <w:sz w:val="22"/>
                <w:szCs w:val="22"/>
              </w:rPr>
            </w:pPr>
            <w:r>
              <w:rPr>
                <w:rFonts w:ascii="宋体" w:hAnsi="宋体"/>
                <w:color w:val="auto"/>
                <w:sz w:val="22"/>
                <w:szCs w:val="22"/>
              </w:rPr>
              <w:t>系统需具备管理员权限控制机制，确保服务应用管理权限授权和控制。支持最高权限管理员平台权限的转让机制。</w:t>
            </w:r>
          </w:p>
          <w:p>
            <w:pPr>
              <w:widowControl/>
              <w:numPr>
                <w:ilvl w:val="0"/>
                <w:numId w:val="26"/>
              </w:numPr>
              <w:spacing w:line="276" w:lineRule="auto"/>
              <w:jc w:val="left"/>
              <w:textAlignment w:val="center"/>
              <w:rPr>
                <w:rFonts w:ascii="宋体" w:hAnsi="宋体"/>
                <w:color w:val="auto"/>
                <w:sz w:val="22"/>
                <w:szCs w:val="22"/>
              </w:rPr>
            </w:pPr>
            <w:r>
              <w:rPr>
                <w:rFonts w:ascii="宋体" w:hAnsi="宋体"/>
                <w:color w:val="auto"/>
                <w:sz w:val="22"/>
                <w:szCs w:val="22"/>
              </w:rPr>
              <w:t>系统详细记录</w:t>
            </w:r>
            <w:r>
              <w:rPr>
                <w:rFonts w:hint="eastAsia" w:ascii="宋体" w:hAnsi="宋体"/>
                <w:color w:val="auto"/>
                <w:sz w:val="22"/>
                <w:szCs w:val="22"/>
              </w:rPr>
              <w:t>一级管理员的</w:t>
            </w:r>
            <w:r>
              <w:rPr>
                <w:rFonts w:ascii="宋体" w:hAnsi="宋体"/>
                <w:color w:val="auto"/>
                <w:sz w:val="22"/>
                <w:szCs w:val="22"/>
              </w:rPr>
              <w:t>操作日志，提供</w:t>
            </w:r>
            <w:r>
              <w:rPr>
                <w:rFonts w:hint="eastAsia" w:ascii="宋体" w:hAnsi="宋体"/>
                <w:color w:val="auto"/>
                <w:sz w:val="22"/>
                <w:szCs w:val="22"/>
              </w:rPr>
              <w:t>最高权限管理员</w:t>
            </w:r>
            <w:r>
              <w:rPr>
                <w:rFonts w:ascii="宋体" w:hAnsi="宋体"/>
                <w:color w:val="auto"/>
                <w:sz w:val="22"/>
                <w:szCs w:val="22"/>
              </w:rPr>
              <w:t>查看操作日志。</w:t>
            </w:r>
          </w:p>
          <w:p>
            <w:pPr>
              <w:pStyle w:val="20"/>
              <w:numPr>
                <w:ilvl w:val="0"/>
                <w:numId w:val="26"/>
              </w:numPr>
              <w:snapToGrid w:val="0"/>
              <w:spacing w:line="276" w:lineRule="auto"/>
              <w:ind w:firstLineChars="0"/>
              <w:rPr>
                <w:rFonts w:ascii="宋体" w:hAnsi="宋体"/>
                <w:color w:val="auto"/>
                <w:sz w:val="22"/>
                <w:szCs w:val="22"/>
              </w:rPr>
            </w:pPr>
            <w:r>
              <w:rPr>
                <w:rFonts w:ascii="宋体" w:hAnsi="宋体"/>
                <w:color w:val="auto"/>
                <w:sz w:val="22"/>
                <w:szCs w:val="22"/>
              </w:rPr>
              <w:t>支持设置配套图书馆移动端APP的部分功能模块启用与下架。</w:t>
            </w:r>
          </w:p>
        </w:tc>
      </w:tr>
    </w:tbl>
    <w:p/>
    <w:p>
      <w:pPr>
        <w:pStyle w:val="5"/>
        <w:numPr>
          <w:ilvl w:val="2"/>
          <w:numId w:val="0"/>
        </w:numPr>
        <w:spacing w:before="156" w:after="156"/>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2.其他要求</w:t>
      </w:r>
    </w:p>
    <w:p>
      <w:pPr>
        <w:pStyle w:val="6"/>
        <w:numPr>
          <w:ilvl w:val="3"/>
          <w:numId w:val="0"/>
        </w:numPr>
        <w:spacing w:before="156" w:after="156"/>
        <w:ind w:left="549"/>
        <w:rPr>
          <w:rFonts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（一）系统、设备的安装、调试及上线</w:t>
      </w:r>
    </w:p>
    <w:p>
      <w:pPr>
        <w:spacing w:line="580" w:lineRule="exact"/>
        <w:ind w:firstLine="560" w:firstLineChars="200"/>
        <w:rPr>
          <w:rFonts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spacing w:line="58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spacing w:line="58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（二）培训</w:t>
      </w:r>
    </w:p>
    <w:p>
      <w:pPr>
        <w:spacing w:line="580" w:lineRule="exact"/>
        <w:ind w:left="560" w:hanging="560" w:hanging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spacing w:line="580" w:lineRule="exact"/>
        <w:ind w:left="560" w:hanging="560" w:hanging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spacing w:line="580" w:lineRule="exact"/>
        <w:ind w:left="560" w:hanging="560" w:hanging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招标项目商务要求；</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w:t>
      </w:r>
      <w:r>
        <w:rPr>
          <w:rFonts w:hint="eastAsia" w:ascii="方正仿宋_GBK" w:hAnsi="方正仿宋_GBK" w:eastAsia="方正仿宋_GBK" w:cs="方正仿宋_GBK"/>
          <w:color w:val="auto"/>
          <w:sz w:val="28"/>
          <w:szCs w:val="28"/>
        </w:rPr>
        <w:t>订后</w:t>
      </w:r>
      <w:r>
        <w:rPr>
          <w:rFonts w:hint="eastAsia" w:ascii="方正仿宋_GBK" w:hAnsi="方正仿宋_GBK" w:eastAsia="方正仿宋_GBK" w:cs="方正仿宋_GBK"/>
          <w:color w:val="auto"/>
          <w:sz w:val="28"/>
          <w:szCs w:val="28"/>
          <w:lang w:val="en-US" w:eastAsia="zh-CN"/>
        </w:rPr>
        <w:t>60</w:t>
      </w:r>
      <w:r>
        <w:rPr>
          <w:rFonts w:hint="eastAsia" w:ascii="方正仿宋_GBK" w:hAnsi="方正仿宋_GBK" w:eastAsia="方正仿宋_GBK" w:cs="方正仿宋_GBK"/>
          <w:color w:val="auto"/>
          <w:sz w:val="28"/>
          <w:szCs w:val="28"/>
        </w:rPr>
        <w:t>天内</w:t>
      </w:r>
      <w:r>
        <w:rPr>
          <w:rFonts w:hint="eastAsia" w:ascii="方正仿宋_GBK" w:hAnsi="方正仿宋_GBK" w:eastAsia="方正仿宋_GBK" w:cs="方正仿宋_GBK"/>
          <w:sz w:val="28"/>
          <w:szCs w:val="28"/>
        </w:rPr>
        <w:t>完成软件安装、调试、培训及上线等全部实施工作。</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（1）当满足以下条件时，采购人才向中标人签发验收报告：</w:t>
      </w:r>
    </w:p>
    <w:p>
      <w:pPr>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A、中标人已按照合同规定提供了全部产品及完整的技术资料。</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B、交付产品符合招标文件各项技术要求，性能满足要求。</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rPr>
        <w:t>C、项目完工后试用30工作日</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软件免费保修期1年，质保期内，应用软件的升级、维护均免费。时间自最终验收合格并交付使用之日起计算。</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质保期过后，投标人应提供系统软件终身维护服务，具体维护费用由医院和中标人通过合同或协议商定。</w:t>
      </w:r>
    </w:p>
    <w:p>
      <w:pPr>
        <w:pStyle w:val="12"/>
        <w:widowControl/>
        <w:spacing w:beforeAutospacing="0" w:afterAutospacing="0" w:line="580" w:lineRule="exact"/>
        <w:outlineLvl w:val="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2"/>
        <w:widowControl/>
        <w:numPr>
          <w:ilvl w:val="0"/>
          <w:numId w:val="27"/>
        </w:numPr>
        <w:spacing w:beforeAutospacing="0" w:afterAutospacing="0"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基础硬件设施维护</w:t>
      </w:r>
    </w:p>
    <w:p>
      <w:pPr>
        <w:pStyle w:val="12"/>
        <w:widowControl/>
        <w:numPr>
          <w:ilvl w:val="0"/>
          <w:numId w:val="27"/>
        </w:numPr>
        <w:spacing w:beforeAutospacing="0" w:afterAutospacing="0"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软件维护及升级更新</w:t>
      </w:r>
    </w:p>
    <w:p>
      <w:pPr>
        <w:pStyle w:val="12"/>
        <w:widowControl/>
        <w:numPr>
          <w:ilvl w:val="0"/>
          <w:numId w:val="28"/>
        </w:numPr>
        <w:spacing w:beforeAutospacing="0" w:afterAutospacing="0"/>
        <w:outlineLvl w:val="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电话支持及上门技术支持</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提供7X24电话支持服务，24小时内上门技术支持服务，通过电话进行问题答疑、事件排错和上门技术支持等服务。</w:t>
      </w:r>
    </w:p>
    <w:p>
      <w:pPr>
        <w:pStyle w:val="12"/>
        <w:widowControl/>
        <w:numPr>
          <w:ilvl w:val="0"/>
          <w:numId w:val="28"/>
        </w:numPr>
        <w:spacing w:beforeAutospacing="0" w:afterAutospacing="0"/>
        <w:outlineLvl w:val="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突发状况支持</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现场工程师能够解决大部分的运维问题，但是遇到一些复杂事件以及一些现场工程师解决有困难的事件，需成立专家组，提供二线全方位支持。</w:t>
      </w:r>
    </w:p>
    <w:p>
      <w:pPr>
        <w:pStyle w:val="12"/>
        <w:widowControl/>
        <w:numPr>
          <w:ilvl w:val="0"/>
          <w:numId w:val="29"/>
        </w:numPr>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付款要求</w:t>
      </w:r>
    </w:p>
    <w:p>
      <w:pPr>
        <w:pStyle w:val="12"/>
        <w:widowControl/>
        <w:numPr>
          <w:ilvl w:val="0"/>
          <w:numId w:val="30"/>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合同签订后三十个工作日内，甲方收到乙方开具的发票后，向乙方,甲方向乙方支付合同金额的30%；</w:t>
      </w:r>
    </w:p>
    <w:p>
      <w:pPr>
        <w:pStyle w:val="12"/>
        <w:widowControl/>
        <w:numPr>
          <w:ilvl w:val="0"/>
          <w:numId w:val="30"/>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项目实施完成并通过甲方最终签字验收合格后，甲方收到发票后三十个工作日内，甲方向乙方支付合同金额的60%。</w:t>
      </w:r>
    </w:p>
    <w:p>
      <w:pPr>
        <w:pStyle w:val="12"/>
        <w:widowControl/>
        <w:numPr>
          <w:ilvl w:val="0"/>
          <w:numId w:val="30"/>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在本项目通过整体验收之日起，一年质保期满后，产品无质量问题并且乙方无违约行为，甲方向乙方支付合同总金额的10%</w:t>
      </w:r>
    </w:p>
    <w:p>
      <w:pPr>
        <w:pStyle w:val="12"/>
        <w:widowControl/>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采购人不承担因资金不能及时到位给中标人造成的任何损失。</w:t>
      </w:r>
    </w:p>
    <w:p>
      <w:pPr>
        <w:pStyle w:val="12"/>
        <w:widowControl/>
        <w:numPr>
          <w:ilvl w:val="0"/>
          <w:numId w:val="31"/>
        </w:numPr>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其他要求</w:t>
      </w:r>
    </w:p>
    <w:p>
      <w:pPr>
        <w:pStyle w:val="12"/>
        <w:widowControl/>
        <w:numPr>
          <w:ilvl w:val="0"/>
          <w:numId w:val="32"/>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2"/>
        <w:widowControl/>
        <w:numPr>
          <w:ilvl w:val="0"/>
          <w:numId w:val="32"/>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2"/>
        <w:widowControl/>
        <w:numPr>
          <w:ilvl w:val="0"/>
          <w:numId w:val="32"/>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现场管理</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中标人在实施全过程中需服从招标人现场代表或监理代表的统一管理和监督检查。</w:t>
      </w:r>
    </w:p>
    <w:p>
      <w:pPr>
        <w:pStyle w:val="12"/>
        <w:widowControl/>
        <w:numPr>
          <w:ilvl w:val="0"/>
          <w:numId w:val="32"/>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安装现在工作和生活条件由中标人自行解决。</w:t>
      </w:r>
    </w:p>
    <w:p>
      <w:pPr>
        <w:pStyle w:val="12"/>
        <w:widowControl/>
        <w:numPr>
          <w:ilvl w:val="0"/>
          <w:numId w:val="32"/>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投标人应提供具体的培训方案，包括培训课程内容、计划、安排等。</w:t>
      </w:r>
    </w:p>
    <w:p>
      <w:pPr>
        <w:pStyle w:val="12"/>
        <w:widowControl/>
        <w:numPr>
          <w:ilvl w:val="0"/>
          <w:numId w:val="29"/>
        </w:numPr>
        <w:spacing w:beforeAutospacing="0" w:afterAutospacing="0"/>
        <w:outlineLvl w:val="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同意招标方以任何形式对我方投标文件内容及招标方认为有必要的相关资料的真实性和有效性进行审查、验证。</w:t>
      </w:r>
    </w:p>
    <w:p>
      <w:pPr>
        <w:pStyle w:val="12"/>
        <w:widowControl/>
        <w:numPr>
          <w:ilvl w:val="0"/>
          <w:numId w:val="29"/>
        </w:numPr>
        <w:spacing w:beforeAutospacing="0" w:afterAutospacing="0"/>
        <w:outlineLvl w:val="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供应商保证所使用软件的产权合法性，任何知识产权纠纷与甲方无关。</w:t>
      </w:r>
    </w:p>
    <w:p>
      <w:pPr>
        <w:pStyle w:val="4"/>
        <w:spacing w:before="156" w:after="156" w:line="415" w:lineRule="auto"/>
      </w:pPr>
      <w:r>
        <w:rPr>
          <w:rFonts w:hint="eastAsia"/>
        </w:rPr>
        <w:t>二、评标细则</w:t>
      </w:r>
    </w:p>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34"/>
        <w:gridCol w:w="567"/>
        <w:gridCol w:w="70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02" w:type="dxa"/>
            <w:gridSpan w:val="4"/>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评分项</w:t>
            </w:r>
          </w:p>
        </w:tc>
        <w:tc>
          <w:tcPr>
            <w:tcW w:w="5670"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2" w:type="dxa"/>
            <w:gridSpan w:val="4"/>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价格部分</w:t>
            </w:r>
          </w:p>
        </w:tc>
        <w:tc>
          <w:tcPr>
            <w:tcW w:w="5670"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w:t>
            </w:r>
            <w:r>
              <w:rPr>
                <w:rFonts w:asciiTheme="minorEastAsia" w:hAnsiTheme="minorEastAsia" w:eastAsiaTheme="minorEastAsia"/>
                <w:b/>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8472" w:type="dxa"/>
            <w:gridSpan w:val="5"/>
            <w:vAlign w:val="center"/>
          </w:tcPr>
          <w:p>
            <w:pPr>
              <w:widowControl/>
              <w:ind w:firstLine="420" w:firstLineChars="200"/>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综合评分法中的价格分统一采用低价优先法计算。即：满足招标文件要求且投标价格最低的投标报价为评标基准价，其价格分为满分。其他投标人的价格分按照下列公式计算：</w:t>
            </w:r>
          </w:p>
          <w:p>
            <w:pPr>
              <w:widowControl/>
              <w:ind w:firstLine="420" w:firstLineChars="200"/>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投标报价得分=(评标基准价/投标报价)×权重</w:t>
            </w:r>
          </w:p>
          <w:p>
            <w:pPr>
              <w:widowControl/>
              <w:ind w:firstLine="422" w:firstLineChars="200"/>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注：</w:t>
            </w:r>
          </w:p>
          <w:p>
            <w:pPr>
              <w:widowControl/>
              <w:ind w:firstLine="420" w:firstLineChars="200"/>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根据财库〔2020〕46号文件及〔2014〕68号文件规定：本项目非专门面向中小企业的项目，对</w:t>
            </w:r>
            <w:r>
              <w:rPr>
                <w:rFonts w:hint="eastAsia" w:cs="宋体" w:asciiTheme="minorEastAsia" w:hAnsiTheme="minorEastAsia" w:eastAsiaTheme="minorEastAsia"/>
                <w:bCs/>
                <w:color w:val="auto"/>
                <w:szCs w:val="21"/>
                <w:u w:val="single"/>
              </w:rPr>
              <w:t>小型</w:t>
            </w:r>
            <w:r>
              <w:rPr>
                <w:rFonts w:hint="eastAsia" w:cs="宋体" w:asciiTheme="minorEastAsia" w:hAnsiTheme="minorEastAsia" w:eastAsiaTheme="minorEastAsia"/>
                <w:bCs/>
                <w:color w:val="auto"/>
                <w:szCs w:val="21"/>
              </w:rPr>
              <w:t>和</w:t>
            </w:r>
            <w:r>
              <w:rPr>
                <w:rFonts w:hint="eastAsia" w:cs="宋体" w:asciiTheme="minorEastAsia" w:hAnsiTheme="minorEastAsia" w:eastAsiaTheme="minorEastAsia"/>
                <w:bCs/>
                <w:color w:val="auto"/>
                <w:szCs w:val="21"/>
                <w:u w:val="single"/>
              </w:rPr>
              <w:t>微型</w:t>
            </w:r>
            <w:r>
              <w:rPr>
                <w:rFonts w:hint="eastAsia" w:cs="宋体" w:asciiTheme="minorEastAsia" w:hAnsiTheme="minorEastAsia" w:eastAsiaTheme="minorEastAsia"/>
                <w:bCs/>
                <w:color w:val="auto"/>
                <w:szCs w:val="21"/>
              </w:rPr>
              <w:t>企业、</w:t>
            </w:r>
            <w:r>
              <w:rPr>
                <w:rFonts w:hint="eastAsia" w:cs="宋体" w:asciiTheme="minorEastAsia" w:hAnsiTheme="minorEastAsia" w:eastAsiaTheme="minorEastAsia"/>
                <w:bCs/>
                <w:color w:val="auto"/>
                <w:szCs w:val="21"/>
                <w:u w:val="single"/>
              </w:rPr>
              <w:t>监狱</w:t>
            </w:r>
            <w:r>
              <w:rPr>
                <w:rFonts w:hint="eastAsia" w:cs="宋体" w:asciiTheme="minorEastAsia" w:hAnsiTheme="minorEastAsia" w:eastAsiaTheme="minorEastAsia"/>
                <w:bCs/>
                <w:color w:val="auto"/>
                <w:szCs w:val="21"/>
              </w:rPr>
              <w:t>企业或</w:t>
            </w:r>
            <w:r>
              <w:rPr>
                <w:rFonts w:hint="eastAsia" w:cs="宋体" w:asciiTheme="minorEastAsia" w:hAnsiTheme="minorEastAsia" w:eastAsiaTheme="minorEastAsia"/>
                <w:bCs/>
                <w:color w:val="auto"/>
                <w:szCs w:val="21"/>
                <w:u w:val="single"/>
              </w:rPr>
              <w:t>残疾人福利性</w:t>
            </w:r>
            <w:r>
              <w:rPr>
                <w:rFonts w:hint="eastAsia" w:cs="宋体" w:asciiTheme="minorEastAsia" w:hAnsiTheme="minorEastAsia" w:eastAsiaTheme="minorEastAsia"/>
                <w:bCs/>
                <w:color w:val="auto"/>
                <w:szCs w:val="21"/>
              </w:rPr>
              <w:t>企业产品的价格给予</w:t>
            </w:r>
            <w:r>
              <w:rPr>
                <w:rFonts w:cs="宋体" w:asciiTheme="minorEastAsia" w:hAnsiTheme="minorEastAsia" w:eastAsiaTheme="minorEastAsia"/>
                <w:b/>
                <w:bCs/>
                <w:color w:val="auto"/>
                <w:szCs w:val="21"/>
                <w:u w:val="single"/>
              </w:rPr>
              <w:t>10</w:t>
            </w:r>
            <w:r>
              <w:rPr>
                <w:rFonts w:hint="eastAsia" w:cs="宋体" w:asciiTheme="minorEastAsia" w:hAnsiTheme="minorEastAsia" w:eastAsiaTheme="minorEastAsia"/>
                <w:b/>
                <w:bCs/>
                <w:color w:val="auto"/>
                <w:szCs w:val="21"/>
                <w:u w:val="single"/>
              </w:rPr>
              <w:t>%</w:t>
            </w:r>
            <w:r>
              <w:rPr>
                <w:rFonts w:hint="eastAsia" w:cs="宋体" w:asciiTheme="minorEastAsia" w:hAnsiTheme="minorEastAsia" w:eastAsiaTheme="minorEastAsia"/>
                <w:bCs/>
                <w:color w:val="auto"/>
                <w:szCs w:val="21"/>
              </w:rPr>
              <w:t>的扣除，用扣除后的价格即为“经评审合格的投标报价”参与价格评审。</w:t>
            </w:r>
          </w:p>
          <w:p>
            <w:pPr>
              <w:widowControl/>
              <w:ind w:firstLine="420" w:firstLineChars="200"/>
              <w:rPr>
                <w:rFonts w:asciiTheme="minorEastAsia" w:hAnsiTheme="minorEastAsia" w:eastAsiaTheme="minorEastAsia"/>
                <w:color w:val="auto"/>
                <w:szCs w:val="21"/>
              </w:rPr>
            </w:pPr>
            <w:r>
              <w:rPr>
                <w:rFonts w:cs="宋体" w:asciiTheme="minorEastAsia" w:hAnsiTheme="minorEastAsia" w:eastAsiaTheme="minorEastAsia"/>
                <w:bCs/>
                <w:color w:val="auto"/>
                <w:szCs w:val="21"/>
              </w:rPr>
              <w:t>符合上述</w:t>
            </w:r>
            <w:r>
              <w:rPr>
                <w:rFonts w:hint="eastAsia" w:asciiTheme="minorEastAsia" w:hAnsiTheme="minorEastAsia" w:eastAsiaTheme="minorEastAsia"/>
                <w:color w:val="auto"/>
                <w:szCs w:val="21"/>
              </w:rPr>
              <w:t>价格扣除优惠主体资格的，应当提供相应的声明函，格式见招标文件第五章。监狱企业除提供声明函外，还应提供</w:t>
            </w:r>
            <w:r>
              <w:rPr>
                <w:rFonts w:hint="eastAsia" w:cs="宋体" w:asciiTheme="minorEastAsia" w:hAnsiTheme="minorEastAsia" w:eastAsiaTheme="minorEastAsia"/>
                <w:bCs/>
                <w:color w:val="auto"/>
                <w:szCs w:val="21"/>
              </w:rPr>
              <w:t>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2" w:type="dxa"/>
            <w:gridSpan w:val="4"/>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技术部分</w:t>
            </w:r>
          </w:p>
        </w:tc>
        <w:tc>
          <w:tcPr>
            <w:tcW w:w="5670" w:type="dxa"/>
            <w:vAlign w:val="center"/>
          </w:tcPr>
          <w:p>
            <w:pPr>
              <w:widowControl/>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序号</w:t>
            </w:r>
          </w:p>
        </w:tc>
        <w:tc>
          <w:tcPr>
            <w:tcW w:w="1134"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评分因素</w:t>
            </w:r>
          </w:p>
        </w:tc>
        <w:tc>
          <w:tcPr>
            <w:tcW w:w="567"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权重</w:t>
            </w:r>
          </w:p>
        </w:tc>
        <w:tc>
          <w:tcPr>
            <w:tcW w:w="709"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评分方式</w:t>
            </w:r>
          </w:p>
        </w:tc>
        <w:tc>
          <w:tcPr>
            <w:tcW w:w="5670" w:type="dxa"/>
            <w:vAlign w:val="center"/>
          </w:tcPr>
          <w:p>
            <w:pPr>
              <w:widowControl/>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134"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技术参数响应情况</w:t>
            </w:r>
          </w:p>
        </w:tc>
        <w:tc>
          <w:tcPr>
            <w:tcW w:w="567"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65</w:t>
            </w:r>
          </w:p>
        </w:tc>
        <w:tc>
          <w:tcPr>
            <w:tcW w:w="709" w:type="dxa"/>
            <w:vAlign w:val="center"/>
          </w:tcPr>
          <w:p>
            <w:pPr>
              <w:jc w:val="center"/>
              <w:rPr>
                <w:rFonts w:asciiTheme="minorEastAsia" w:hAnsiTheme="minorEastAsia" w:eastAsiaTheme="minorEastAsia"/>
                <w:color w:val="auto"/>
                <w:szCs w:val="21"/>
                <w:lang w:val="zh-CN"/>
              </w:rPr>
            </w:pPr>
            <w:r>
              <w:rPr>
                <w:color w:val="auto"/>
                <w:szCs w:val="21"/>
              </w:rPr>
              <w:t>专家打分</w:t>
            </w:r>
          </w:p>
        </w:tc>
        <w:tc>
          <w:tcPr>
            <w:tcW w:w="5670" w:type="dxa"/>
            <w:vAlign w:val="center"/>
          </w:tcPr>
          <w:p>
            <w:pPr>
              <w:spacing w:line="240" w:lineRule="atLeast"/>
              <w:rPr>
                <w:rFonts w:asciiTheme="minorEastAsia" w:hAnsiTheme="minorEastAsia" w:eastAsiaTheme="minorEastAsia"/>
                <w:color w:val="auto"/>
                <w:szCs w:val="21"/>
              </w:rPr>
            </w:pPr>
            <w:r>
              <w:rPr>
                <w:color w:val="auto"/>
                <w:szCs w:val="21"/>
              </w:rPr>
              <w:t>投标人应如实填写《</w:t>
            </w:r>
            <w:r>
              <w:rPr>
                <w:rFonts w:hint="eastAsia"/>
                <w:color w:val="auto"/>
                <w:szCs w:val="21"/>
              </w:rPr>
              <w:t>技术规格</w:t>
            </w:r>
            <w:r>
              <w:rPr>
                <w:color w:val="auto"/>
                <w:szCs w:val="21"/>
              </w:rPr>
              <w:t>偏离表》，</w:t>
            </w:r>
            <w:bookmarkStart w:id="0" w:name="_GoBack"/>
            <w:bookmarkEnd w:id="0"/>
            <w:r>
              <w:rPr>
                <w:color w:val="auto"/>
                <w:szCs w:val="21"/>
              </w:rPr>
              <w:t>评审委员会根据</w:t>
            </w:r>
            <w:r>
              <w:rPr>
                <w:rFonts w:hint="eastAsia"/>
                <w:color w:val="auto"/>
                <w:szCs w:val="21"/>
              </w:rPr>
              <w:t>其</w:t>
            </w:r>
            <w:r>
              <w:rPr>
                <w:color w:val="auto"/>
                <w:szCs w:val="21"/>
              </w:rPr>
              <w:t>响应情况进行打分，</w:t>
            </w:r>
            <w:r>
              <w:rPr>
                <w:rFonts w:hint="eastAsia"/>
                <w:bCs/>
                <w:color w:val="auto"/>
                <w:szCs w:val="21"/>
              </w:rPr>
              <w:t>每负偏离</w:t>
            </w:r>
            <w:r>
              <w:rPr>
                <w:rFonts w:hint="eastAsia"/>
                <w:color w:val="auto"/>
                <w:szCs w:val="21"/>
              </w:rPr>
              <w:t>一项扣</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分</w:t>
            </w:r>
            <w:r>
              <w:rPr>
                <w:rFonts w:hint="eastAsia"/>
                <w:bCs/>
                <w:color w:val="auto"/>
                <w:szCs w:val="21"/>
              </w:rPr>
              <w:t>，</w:t>
            </w:r>
            <w:r>
              <w:rPr>
                <w:rFonts w:hint="eastAsia"/>
                <w:color w:val="auto"/>
                <w:szCs w:val="21"/>
              </w:rPr>
              <w:t>扣完即止。</w:t>
            </w:r>
            <w:r>
              <w:rPr>
                <w:rFonts w:hint="eastAsia" w:ascii="宋体" w:hAnsi="宋体"/>
                <w:color w:val="auto"/>
                <w:szCs w:val="21"/>
              </w:rPr>
              <w:t>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2</w:t>
            </w:r>
          </w:p>
        </w:tc>
        <w:tc>
          <w:tcPr>
            <w:tcW w:w="1134"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软件著作权证书</w:t>
            </w:r>
          </w:p>
        </w:tc>
        <w:tc>
          <w:tcPr>
            <w:tcW w:w="567"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1</w:t>
            </w:r>
          </w:p>
        </w:tc>
        <w:tc>
          <w:tcPr>
            <w:tcW w:w="709" w:type="dxa"/>
            <w:vAlign w:val="center"/>
          </w:tcPr>
          <w:p>
            <w:pPr>
              <w:jc w:val="center"/>
              <w:rPr>
                <w:rFonts w:asciiTheme="minorEastAsia" w:hAnsiTheme="minorEastAsia" w:eastAsiaTheme="minorEastAsia"/>
                <w:color w:val="auto"/>
                <w:szCs w:val="21"/>
                <w:lang w:val="zh-CN"/>
              </w:rPr>
            </w:pPr>
            <w:r>
              <w:rPr>
                <w:rFonts w:hint="eastAsia" w:asciiTheme="minorEastAsia" w:hAnsiTheme="minorEastAsia" w:eastAsiaTheme="minorEastAsia"/>
                <w:color w:val="auto"/>
                <w:szCs w:val="21"/>
                <w:lang w:val="zh-CN"/>
              </w:rPr>
              <w:t>专家打分</w:t>
            </w:r>
          </w:p>
        </w:tc>
        <w:tc>
          <w:tcPr>
            <w:tcW w:w="5670" w:type="dxa"/>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投标人提供与本项目需求相关的软件著作权登记证书，每提供一个得</w:t>
            </w:r>
            <w:r>
              <w:rPr>
                <w:rFonts w:asciiTheme="minorEastAsia" w:hAnsiTheme="minorEastAsia" w:eastAsiaTheme="minorEastAsia"/>
                <w:color w:val="auto"/>
                <w:szCs w:val="21"/>
              </w:rPr>
              <w:t>0.5</w:t>
            </w:r>
            <w:r>
              <w:rPr>
                <w:rFonts w:hint="eastAsia" w:asciiTheme="minorEastAsia" w:hAnsiTheme="minorEastAsia" w:eastAsiaTheme="minorEastAsia"/>
                <w:color w:val="auto"/>
                <w:szCs w:val="21"/>
              </w:rPr>
              <w:t>分，最高得</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分。</w:t>
            </w:r>
          </w:p>
          <w:p>
            <w:pPr>
              <w:rPr>
                <w:rFonts w:asciiTheme="minorEastAsia" w:hAnsiTheme="minorEastAsia" w:eastAsiaTheme="minorEastAsia"/>
                <w:b/>
                <w:color w:val="auto"/>
                <w:szCs w:val="21"/>
              </w:rPr>
            </w:pPr>
            <w:r>
              <w:rPr>
                <w:rFonts w:asciiTheme="minorEastAsia" w:hAnsiTheme="minorEastAsia" w:eastAsiaTheme="minorEastAsia"/>
                <w:b/>
                <w:color w:val="auto"/>
                <w:szCs w:val="21"/>
              </w:rPr>
              <w:t>证明材料</w:t>
            </w:r>
            <w:r>
              <w:rPr>
                <w:rFonts w:hint="eastAsia" w:asciiTheme="minorEastAsia" w:hAnsiTheme="minorEastAsia" w:eastAsiaTheme="minorEastAsia"/>
                <w:b/>
                <w:color w:val="auto"/>
                <w:szCs w:val="21"/>
              </w:rPr>
              <w:t>：</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提供相应证明资料的复印件（或官方网站截图）并加盖投标人公章，未提供证明资料或提供的资料无法证明的不得分。供者不得分；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2" w:type="dxa"/>
            <w:gridSpan w:val="4"/>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商务部分</w:t>
            </w:r>
          </w:p>
        </w:tc>
        <w:tc>
          <w:tcPr>
            <w:tcW w:w="5670" w:type="dxa"/>
            <w:vAlign w:val="center"/>
          </w:tcPr>
          <w:p>
            <w:pPr>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序号</w:t>
            </w:r>
          </w:p>
        </w:tc>
        <w:tc>
          <w:tcPr>
            <w:tcW w:w="1134"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评分因素</w:t>
            </w:r>
          </w:p>
        </w:tc>
        <w:tc>
          <w:tcPr>
            <w:tcW w:w="567"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权重</w:t>
            </w:r>
          </w:p>
        </w:tc>
        <w:tc>
          <w:tcPr>
            <w:tcW w:w="709"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评分方式</w:t>
            </w:r>
          </w:p>
        </w:tc>
        <w:tc>
          <w:tcPr>
            <w:tcW w:w="5670" w:type="dxa"/>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Align w:val="center"/>
          </w:tcPr>
          <w:p>
            <w:pPr>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w:t>
            </w:r>
          </w:p>
        </w:tc>
        <w:tc>
          <w:tcPr>
            <w:tcW w:w="1134" w:type="dxa"/>
            <w:vAlign w:val="center"/>
          </w:tcPr>
          <w:p>
            <w:pPr>
              <w:jc w:val="center"/>
              <w:rPr>
                <w:rFonts w:ascii="宋体" w:hAnsi="宋体" w:cs="宋体"/>
                <w:color w:val="auto"/>
                <w:szCs w:val="21"/>
                <w:lang w:bidi="ar"/>
              </w:rPr>
            </w:pPr>
            <w:r>
              <w:rPr>
                <w:rFonts w:hint="eastAsia" w:cs="宋体" w:asciiTheme="minorEastAsia" w:hAnsiTheme="minorEastAsia" w:eastAsiaTheme="minorEastAsia"/>
                <w:color w:val="auto"/>
                <w:szCs w:val="21"/>
              </w:rPr>
              <w:t>同类业绩</w:t>
            </w:r>
          </w:p>
        </w:tc>
        <w:tc>
          <w:tcPr>
            <w:tcW w:w="567" w:type="dxa"/>
            <w:vAlign w:val="center"/>
          </w:tcPr>
          <w:p>
            <w:pPr>
              <w:jc w:val="center"/>
              <w:rPr>
                <w:rFonts w:cs="仿宋" w:asciiTheme="minorEastAsia" w:hAnsiTheme="minorEastAsia" w:eastAsiaTheme="minorEastAsia"/>
                <w:color w:val="auto"/>
                <w:szCs w:val="21"/>
                <w:lang w:bidi="ar"/>
              </w:rPr>
            </w:pPr>
            <w:r>
              <w:rPr>
                <w:rFonts w:cs="宋体" w:asciiTheme="minorEastAsia" w:hAnsiTheme="minorEastAsia" w:eastAsiaTheme="minorEastAsia"/>
                <w:color w:val="auto"/>
                <w:szCs w:val="21"/>
              </w:rPr>
              <w:t>2</w:t>
            </w:r>
          </w:p>
        </w:tc>
        <w:tc>
          <w:tcPr>
            <w:tcW w:w="709" w:type="dxa"/>
            <w:vAlign w:val="center"/>
          </w:tcPr>
          <w:p>
            <w:pPr>
              <w:jc w:val="center"/>
              <w:rPr>
                <w:rFonts w:asciiTheme="minorEastAsia" w:hAnsiTheme="minorEastAsia" w:eastAsiaTheme="minorEastAsia"/>
                <w:color w:val="auto"/>
                <w:szCs w:val="21"/>
                <w:lang w:val="zh-CN"/>
              </w:rPr>
            </w:pPr>
            <w:r>
              <w:rPr>
                <w:color w:val="auto"/>
                <w:szCs w:val="21"/>
              </w:rPr>
              <w:t>专家打分</w:t>
            </w:r>
          </w:p>
        </w:tc>
        <w:tc>
          <w:tcPr>
            <w:tcW w:w="5670" w:type="dxa"/>
            <w:vAlign w:val="center"/>
          </w:tcPr>
          <w:p>
            <w:pPr>
              <w:widowControl/>
              <w:rPr>
                <w:rFonts w:cs="宋体" w:asciiTheme="minorEastAsia" w:hAnsiTheme="minorEastAsia" w:eastAsiaTheme="minorEastAsia"/>
                <w:color w:val="auto"/>
                <w:szCs w:val="21"/>
              </w:rPr>
            </w:pPr>
            <w:r>
              <w:rPr>
                <w:rFonts w:ascii="宋体" w:hAnsi="宋体" w:cs="宋体"/>
                <w:b/>
                <w:color w:val="auto"/>
                <w:szCs w:val="21"/>
              </w:rPr>
              <w:t>评审内容</w:t>
            </w:r>
            <w:r>
              <w:rPr>
                <w:rFonts w:hint="eastAsia" w:ascii="宋体" w:hAnsi="宋体" w:cs="宋体"/>
                <w:b/>
                <w:color w:val="auto"/>
                <w:szCs w:val="21"/>
              </w:rPr>
              <w:t>：</w:t>
            </w:r>
          </w:p>
          <w:p>
            <w:pPr>
              <w:widowControl/>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投标人近</w:t>
            </w:r>
            <w:r>
              <w:rPr>
                <w:rFonts w:hint="eastAsia" w:cs="宋体" w:asciiTheme="minorEastAsia" w:hAnsiTheme="minorEastAsia" w:eastAsiaTheme="minorEastAsia"/>
                <w:color w:val="auto"/>
                <w:szCs w:val="21"/>
              </w:rPr>
              <w:t>三</w:t>
            </w:r>
            <w:r>
              <w:rPr>
                <w:rFonts w:cs="宋体" w:asciiTheme="minorEastAsia" w:hAnsiTheme="minorEastAsia" w:eastAsiaTheme="minorEastAsia"/>
                <w:color w:val="auto"/>
                <w:szCs w:val="21"/>
              </w:rPr>
              <w:t>年内</w:t>
            </w:r>
            <w:r>
              <w:rPr>
                <w:rFonts w:hint="eastAsia" w:cs="宋体" w:asciiTheme="minorEastAsia" w:hAnsiTheme="minorEastAsia" w:eastAsiaTheme="minorEastAsia"/>
                <w:color w:val="auto"/>
                <w:szCs w:val="21"/>
              </w:rPr>
              <w:t>（自201</w:t>
            </w:r>
            <w:r>
              <w:rPr>
                <w:rFonts w:cs="宋体" w:asciiTheme="minorEastAsia" w:hAnsiTheme="minorEastAsia" w:eastAsiaTheme="minorEastAsia"/>
                <w:color w:val="auto"/>
                <w:szCs w:val="21"/>
              </w:rPr>
              <w:t>7</w:t>
            </w:r>
            <w:r>
              <w:rPr>
                <w:rFonts w:hint="eastAsia" w:cs="宋体" w:asciiTheme="minorEastAsia" w:hAnsiTheme="minorEastAsia" w:eastAsiaTheme="minorEastAsia"/>
                <w:color w:val="auto"/>
                <w:szCs w:val="21"/>
              </w:rPr>
              <w:t>年</w:t>
            </w:r>
            <w:r>
              <w:rPr>
                <w:rFonts w:cs="宋体" w:asciiTheme="minorEastAsia" w:hAnsiTheme="minorEastAsia" w:eastAsiaTheme="minorEastAsia"/>
                <w:color w:val="auto"/>
                <w:szCs w:val="21"/>
              </w:rPr>
              <w:t>12</w:t>
            </w:r>
            <w:r>
              <w:rPr>
                <w:rFonts w:hint="eastAsia" w:cs="宋体" w:asciiTheme="minorEastAsia" w:hAnsiTheme="minorEastAsia" w:eastAsiaTheme="minorEastAsia"/>
                <w:color w:val="auto"/>
                <w:szCs w:val="21"/>
              </w:rPr>
              <w:t>月1日至招标公告发布之日止）具有同类（</w:t>
            </w:r>
            <w:r>
              <w:rPr>
                <w:rFonts w:hint="eastAsia" w:cs="宋体"/>
                <w:bCs/>
                <w:color w:val="auto"/>
                <w:szCs w:val="21"/>
              </w:rPr>
              <w:t>与本项目内容相关的</w:t>
            </w:r>
            <w:r>
              <w:rPr>
                <w:rFonts w:hint="eastAsia" w:cs="宋体" w:asciiTheme="minorEastAsia" w:hAnsiTheme="minorEastAsia" w:eastAsiaTheme="minorEastAsia"/>
                <w:color w:val="auto"/>
                <w:szCs w:val="21"/>
              </w:rPr>
              <w:t>）项目成功案例的，每提供一个案例得1分，本项最高得2分。</w:t>
            </w:r>
          </w:p>
          <w:p>
            <w:pPr>
              <w:spacing w:line="240" w:lineRule="atLeast"/>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评分依据：</w:t>
            </w:r>
          </w:p>
          <w:p>
            <w:pPr>
              <w:widowControl/>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（1）须提供项目合同复印件加盖投标人公章作为得分依据，原价备查；合同内容必须体现合同金额、合同清单、合同双方名称等关键信息。</w:t>
            </w:r>
          </w:p>
          <w:p>
            <w:pPr>
              <w:widowControl/>
              <w:rPr>
                <w:rFonts w:ascii="宋体" w:hAnsi="宋体"/>
                <w:color w:val="auto"/>
                <w:szCs w:val="21"/>
              </w:rPr>
            </w:pPr>
            <w:r>
              <w:rPr>
                <w:rFonts w:hint="eastAsia" w:cs="宋体" w:asciiTheme="minorEastAsia" w:hAnsiTheme="minorEastAsia" w:eastAsiaTheme="minorEastAsia"/>
                <w:color w:val="auto"/>
                <w:szCs w:val="21"/>
              </w:rPr>
              <w:t>（2）</w:t>
            </w:r>
            <w:r>
              <w:rPr>
                <w:rFonts w:hint="eastAsia" w:ascii="宋体" w:hAnsi="宋体"/>
                <w:color w:val="auto"/>
                <w:szCs w:val="21"/>
              </w:rPr>
              <w:t>如出现提供的证明材料不清晰、有缺漏等情况导致评标委员会无法判断是否得分的情况，一律按不得分处理。</w:t>
            </w:r>
          </w:p>
          <w:p>
            <w:pPr>
              <w:rPr>
                <w:rFonts w:ascii="宋体" w:hAnsi="宋体" w:cs="宋体"/>
                <w:color w:val="auto"/>
                <w:szCs w:val="21"/>
                <w:lang w:bidi="ar"/>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）投标人提供的多项合同甲方为同一家单位的，只算一项合同，不重复计分。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Align w:val="center"/>
          </w:tcPr>
          <w:p>
            <w:pPr>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p>
        </w:tc>
        <w:tc>
          <w:tcPr>
            <w:tcW w:w="1134" w:type="dxa"/>
            <w:vAlign w:val="center"/>
          </w:tcPr>
          <w:p>
            <w:pPr>
              <w:jc w:val="center"/>
              <w:rPr>
                <w:rFonts w:cs="仿宋" w:asciiTheme="minorEastAsia" w:hAnsiTheme="minorEastAsia" w:eastAsiaTheme="minorEastAsia"/>
                <w:color w:val="auto"/>
                <w:szCs w:val="21"/>
                <w:lang w:bidi="ar"/>
              </w:rPr>
            </w:pPr>
            <w:r>
              <w:rPr>
                <w:rFonts w:hint="eastAsia" w:cs="宋体" w:asciiTheme="minorEastAsia" w:hAnsiTheme="minorEastAsia" w:eastAsiaTheme="minorEastAsia"/>
                <w:color w:val="auto"/>
                <w:szCs w:val="21"/>
              </w:rPr>
              <w:t>企业资质</w:t>
            </w:r>
          </w:p>
        </w:tc>
        <w:tc>
          <w:tcPr>
            <w:tcW w:w="567" w:type="dxa"/>
            <w:vAlign w:val="center"/>
          </w:tcPr>
          <w:p>
            <w:pPr>
              <w:jc w:val="center"/>
              <w:rPr>
                <w:rFonts w:cs="仿宋" w:asciiTheme="minorEastAsia" w:hAnsiTheme="minorEastAsia" w:eastAsiaTheme="minorEastAsia"/>
                <w:color w:val="auto"/>
                <w:szCs w:val="21"/>
                <w:lang w:bidi="ar"/>
              </w:rPr>
            </w:pPr>
            <w:r>
              <w:rPr>
                <w:rFonts w:ascii="宋体" w:hAnsi="宋体"/>
                <w:color w:val="auto"/>
                <w:szCs w:val="21"/>
              </w:rPr>
              <w:t>2</w:t>
            </w:r>
          </w:p>
        </w:tc>
        <w:tc>
          <w:tcPr>
            <w:tcW w:w="709" w:type="dxa"/>
            <w:vAlign w:val="center"/>
          </w:tcPr>
          <w:p>
            <w:pPr>
              <w:jc w:val="center"/>
              <w:rPr>
                <w:rFonts w:asciiTheme="minorEastAsia" w:hAnsiTheme="minorEastAsia" w:eastAsiaTheme="minorEastAsia"/>
                <w:color w:val="auto"/>
                <w:szCs w:val="21"/>
                <w:lang w:val="zh-CN"/>
              </w:rPr>
            </w:pPr>
            <w:r>
              <w:rPr>
                <w:color w:val="auto"/>
                <w:szCs w:val="21"/>
              </w:rPr>
              <w:t>专家打分</w:t>
            </w:r>
          </w:p>
        </w:tc>
        <w:tc>
          <w:tcPr>
            <w:tcW w:w="5670" w:type="dxa"/>
            <w:vAlign w:val="center"/>
          </w:tcPr>
          <w:p>
            <w:pPr>
              <w:rPr>
                <w:rFonts w:ascii="宋体" w:hAnsi="宋体" w:cs="宋体"/>
                <w:b/>
                <w:color w:val="auto"/>
                <w:szCs w:val="21"/>
              </w:rPr>
            </w:pPr>
            <w:r>
              <w:rPr>
                <w:rFonts w:ascii="宋体" w:hAnsi="宋体" w:cs="宋体"/>
                <w:b/>
                <w:color w:val="auto"/>
                <w:szCs w:val="21"/>
              </w:rPr>
              <w:t>评审内容</w:t>
            </w:r>
            <w:r>
              <w:rPr>
                <w:rFonts w:hint="eastAsia" w:ascii="宋体" w:hAnsi="宋体" w:cs="宋体"/>
                <w:b/>
                <w:color w:val="auto"/>
                <w:szCs w:val="21"/>
              </w:rPr>
              <w:t>：</w:t>
            </w:r>
          </w:p>
          <w:p>
            <w:pPr>
              <w:rPr>
                <w:rFonts w:cs="宋体"/>
                <w:bCs/>
                <w:color w:val="auto"/>
                <w:szCs w:val="21"/>
              </w:rPr>
            </w:pPr>
            <w:r>
              <w:rPr>
                <w:rFonts w:hint="eastAsia" w:ascii="宋体" w:hAnsi="宋体" w:cs="宋体"/>
                <w:color w:val="auto"/>
                <w:szCs w:val="21"/>
              </w:rPr>
              <w:t>（1）投标人</w:t>
            </w:r>
            <w:r>
              <w:rPr>
                <w:rFonts w:hint="eastAsia" w:cs="宋体"/>
                <w:bCs/>
                <w:color w:val="auto"/>
                <w:szCs w:val="21"/>
              </w:rPr>
              <w:t>具备省市级及以上国家权威部门颁发的AAA级信用单位证书的，得</w:t>
            </w:r>
            <w:r>
              <w:rPr>
                <w:rFonts w:cs="宋体"/>
                <w:bCs/>
                <w:color w:val="auto"/>
                <w:szCs w:val="21"/>
              </w:rPr>
              <w:t>0.5</w:t>
            </w:r>
            <w:r>
              <w:rPr>
                <w:rFonts w:hint="eastAsia" w:cs="宋体"/>
                <w:bCs/>
                <w:color w:val="auto"/>
                <w:szCs w:val="21"/>
              </w:rPr>
              <w:t>分；</w:t>
            </w:r>
          </w:p>
          <w:p>
            <w:pPr>
              <w:rPr>
                <w:rFonts w:cs="宋体"/>
                <w:bCs/>
                <w:color w:val="auto"/>
                <w:szCs w:val="21"/>
              </w:rPr>
            </w:pPr>
            <w:r>
              <w:rPr>
                <w:rFonts w:hint="eastAsia" w:cs="宋体"/>
                <w:bCs/>
                <w:color w:val="auto"/>
                <w:szCs w:val="21"/>
              </w:rPr>
              <w:t>（2）投标人具备省市级及以上国家权威部门颁发的高新技术企业证书的，得</w:t>
            </w:r>
            <w:r>
              <w:rPr>
                <w:rFonts w:cs="宋体"/>
                <w:bCs/>
                <w:color w:val="auto"/>
                <w:szCs w:val="21"/>
              </w:rPr>
              <w:t>0.5</w:t>
            </w:r>
            <w:r>
              <w:rPr>
                <w:rFonts w:hint="eastAsia" w:cs="宋体"/>
                <w:bCs/>
                <w:color w:val="auto"/>
                <w:szCs w:val="21"/>
              </w:rPr>
              <w:t>分；</w:t>
            </w:r>
          </w:p>
          <w:p>
            <w:pPr>
              <w:rPr>
                <w:rFonts w:cs="宋体"/>
                <w:b/>
                <w:bCs/>
                <w:color w:val="auto"/>
                <w:szCs w:val="21"/>
              </w:rPr>
            </w:pPr>
            <w:r>
              <w:rPr>
                <w:rFonts w:hint="eastAsia" w:cs="宋体"/>
                <w:bCs/>
                <w:color w:val="auto"/>
                <w:szCs w:val="21"/>
              </w:rPr>
              <w:t>（3）投标人具备中华人民共和国国家版权局颁发的与本项目相关的软件产品的软件著作权证书的，每提供一项证书得</w:t>
            </w:r>
            <w:r>
              <w:rPr>
                <w:rFonts w:cs="宋体"/>
                <w:bCs/>
                <w:color w:val="auto"/>
                <w:szCs w:val="21"/>
              </w:rPr>
              <w:t>0.5</w:t>
            </w:r>
            <w:r>
              <w:rPr>
                <w:rFonts w:hint="eastAsia" w:cs="宋体"/>
                <w:bCs/>
                <w:color w:val="auto"/>
                <w:szCs w:val="21"/>
              </w:rPr>
              <w:t>分，本项最多得</w:t>
            </w:r>
            <w:r>
              <w:rPr>
                <w:rFonts w:cs="宋体"/>
                <w:bCs/>
                <w:color w:val="auto"/>
                <w:szCs w:val="21"/>
              </w:rPr>
              <w:t>1</w:t>
            </w:r>
            <w:r>
              <w:rPr>
                <w:rFonts w:hint="eastAsia" w:cs="宋体"/>
                <w:bCs/>
                <w:color w:val="auto"/>
                <w:szCs w:val="21"/>
              </w:rPr>
              <w:t>分。</w:t>
            </w:r>
          </w:p>
          <w:p>
            <w:pPr>
              <w:spacing w:line="240" w:lineRule="atLeast"/>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评分依据：</w:t>
            </w:r>
          </w:p>
          <w:p>
            <w:pPr>
              <w:autoSpaceDE w:val="0"/>
              <w:autoSpaceDN w:val="0"/>
              <w:adjustRightInd w:val="0"/>
              <w:rPr>
                <w:rFonts w:cs="仿宋" w:asciiTheme="minorEastAsia" w:hAnsiTheme="minorEastAsia" w:eastAsiaTheme="minorEastAsia"/>
                <w:color w:val="auto"/>
                <w:szCs w:val="21"/>
                <w:lang w:bidi="ar"/>
              </w:rPr>
            </w:pPr>
            <w:r>
              <w:rPr>
                <w:rFonts w:hint="eastAsia" w:ascii="宋体" w:hAnsi="宋体" w:cs="宋体"/>
                <w:color w:val="auto"/>
                <w:szCs w:val="21"/>
              </w:rPr>
              <w:t>须</w:t>
            </w:r>
            <w:r>
              <w:rPr>
                <w:rFonts w:hint="eastAsia" w:ascii="宋体" w:hAnsi="宋体"/>
                <w:color w:val="auto"/>
                <w:szCs w:val="21"/>
              </w:rPr>
              <w:t>提供有效期内的证书复印件（加盖投标人公章）及原价（备查）作为得分依据。未提供者不得分。如出现提供的证明材料不清晰、有缺漏等情况导致评标委员会无法判断是否得分的情况，一律按不得分处理。</w:t>
            </w:r>
          </w:p>
        </w:tc>
      </w:tr>
    </w:tbl>
    <w:p/>
    <w:p>
      <w:pPr>
        <w:spacing w:line="360" w:lineRule="auto"/>
        <w:ind w:left="420" w:leftChars="200"/>
        <w:rPr>
          <w:rFonts w:asciiTheme="minorEastAsia" w:hAnsiTheme="minorEastAsia"/>
          <w:sz w:val="24"/>
        </w:rPr>
      </w:pPr>
      <w:r>
        <w:rPr>
          <w:rFonts w:hint="eastAsia" w:asciiTheme="minorEastAsia" w:hAnsiTheme="minorEastAsia"/>
          <w:sz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rPr>
      </w:pPr>
      <w:r>
        <w:rPr>
          <w:rFonts w:hint="eastAsia" w:asciiTheme="minorEastAsia" w:hAnsiTheme="minorEastAsia"/>
          <w:sz w:val="24"/>
        </w:rPr>
        <w:t>2、缺项或不合格，则该项为0分。</w:t>
      </w:r>
    </w:p>
    <w:p>
      <w:pPr>
        <w:spacing w:line="360" w:lineRule="auto"/>
        <w:ind w:left="420" w:leftChars="200" w:firstLine="480" w:firstLineChars="200"/>
        <w:rPr>
          <w:rFonts w:asciiTheme="minorEastAsia" w:hAnsiTheme="minorEastAsia"/>
          <w:b/>
          <w:sz w:val="24"/>
          <w:u w:val="single"/>
        </w:rPr>
      </w:pPr>
      <w:r>
        <w:rPr>
          <w:rFonts w:hint="eastAsia" w:asciiTheme="minorEastAsia" w:hAnsiTheme="minorEastAsia"/>
          <w:sz w:val="24"/>
        </w:rPr>
        <w:t>3、重要参数不得超过技术参数总数的10%。</w:t>
      </w:r>
    </w:p>
    <w:p>
      <w:pPr>
        <w:pStyle w:val="12"/>
        <w:widowControl/>
        <w:spacing w:beforeAutospacing="0" w:afterAutospacing="0"/>
        <w:outlineLvl w:val="2"/>
        <w:rPr>
          <w:rFonts w:ascii="方正仿宋_GBK" w:hAnsi="方正仿宋_GBK" w:eastAsia="方正仿宋_GBK" w:cs="方正仿宋_GBK"/>
          <w:sz w:val="32"/>
          <w:szCs w:val="32"/>
        </w:rPr>
      </w:pPr>
    </w:p>
    <w:p>
      <w:pPr>
        <w:pStyle w:val="12"/>
        <w:widowControl/>
        <w:spacing w:beforeAutospacing="0" w:afterAutospacing="0"/>
      </w:pPr>
    </w:p>
    <w:p>
      <w:pPr>
        <w:spacing w:line="360" w:lineRule="auto"/>
        <w:ind w:firstLine="1928" w:firstLineChars="800"/>
        <w:outlineLvl w:val="0"/>
        <w:rPr>
          <w:rFonts w:ascii="方正黑体_GBK" w:hAnsi="方正黑体_GBK" w:eastAsia="方正黑体_GBK" w:cs="方正黑体_GBK"/>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Cs/>
          <w:sz w:val="32"/>
          <w:szCs w:val="32"/>
        </w:rPr>
        <w:t>第三部分  投标人须知</w:t>
      </w:r>
    </w:p>
    <w:p>
      <w:pPr>
        <w:pStyle w:val="7"/>
        <w:adjustRightInd w:val="0"/>
        <w:snapToGrid w:val="0"/>
        <w:spacing w:line="380" w:lineRule="exact"/>
        <w:outlineLvl w:val="2"/>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一、说  明</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1、适用范围：本谈判文件适用于本投标邀请中所述项目的采购项目。</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2、“采购人”是指：</w:t>
      </w:r>
      <w:r>
        <w:rPr>
          <w:rFonts w:hint="eastAsia" w:ascii="方正仿宋_GBK" w:hAnsi="方正仿宋_GBK" w:eastAsia="方正仿宋_GBK" w:cs="方正仿宋_GBK"/>
          <w:sz w:val="28"/>
          <w:szCs w:val="28"/>
          <w:u w:val="single"/>
        </w:rPr>
        <w:t>惠州市第六人民医院</w:t>
      </w:r>
      <w:r>
        <w:rPr>
          <w:rFonts w:hint="eastAsia" w:ascii="方正仿宋_GBK" w:hAnsi="方正仿宋_GBK" w:eastAsia="方正仿宋_GBK" w:cs="方正仿宋_GBK"/>
          <w:sz w:val="28"/>
          <w:szCs w:val="28"/>
        </w:rPr>
        <w:t>。</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3、合格的投标人是指符合以下条件的： </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（1）符合投标文件“供应商资格”规定要求；</w:t>
      </w:r>
    </w:p>
    <w:p>
      <w:pPr>
        <w:pStyle w:val="7"/>
        <w:tabs>
          <w:tab w:val="left" w:pos="360"/>
        </w:tabs>
        <w:adjustRightInd w:val="0"/>
        <w:snapToGrid w:val="0"/>
        <w:spacing w:line="580" w:lineRule="exact"/>
        <w:ind w:firstLine="560" w:firstLineChars="200"/>
        <w:rPr>
          <w:rFonts w:ascii="方正仿宋_GBK" w:hAnsi="方正仿宋_GBK" w:eastAsia="方正仿宋_GBK" w:cs="方正仿宋_GBK"/>
          <w:sz w:val="28"/>
          <w:szCs w:val="28"/>
          <w:lang w:val="hr-HR"/>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hr-HR"/>
        </w:rPr>
        <w:t>按要求进行了资格预审并通过；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4、“中标人”是指经法定程序确定并授予合同的投标人；</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5、合格的货物和服务：</w:t>
      </w:r>
    </w:p>
    <w:p>
      <w:pPr>
        <w:pStyle w:val="7"/>
        <w:adjustRightInd w:val="0"/>
        <w:snapToGrid w:val="0"/>
        <w:spacing w:line="58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货物”是指投标人制造或组织符合谈判文件要求的货物等。投标文件中没有提及投标货物来源地的，根据《政府采购法》的相关规定均应是本国货物。投标的货物必须是其合法生产的符合国家有关标准要求的货物，并满足我院投标文件规定的规格、参数、质量、价格、有效期、售后服务等要求。</w:t>
      </w:r>
    </w:p>
    <w:p>
      <w:pPr>
        <w:pStyle w:val="7"/>
        <w:adjustRightInd w:val="0"/>
        <w:snapToGrid w:val="0"/>
        <w:spacing w:line="58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“服务”是指除货物和工程以外的采购对象，其中包括：投标人需承担的运输、安装、技术支持、培训以及谈判文件规定的其他服务。</w:t>
      </w:r>
    </w:p>
    <w:p>
      <w:pPr>
        <w:numPr>
          <w:ilvl w:val="0"/>
          <w:numId w:val="33"/>
        </w:numPr>
        <w:spacing w:line="580" w:lineRule="exact"/>
        <w:ind w:firstLine="588" w:firstLineChars="2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7、无效报价的认定</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（1）报价文件没有有效签署的； </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（2）报价文件不响应评审小组评审时质疑提出的问题，且该问题将可能给采购人造成重大影响的；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（3）报价文件的报价明显过低，可能低于其成本，而投标响应供应商又不能作出合理说明的；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（4）报价文件的总价超出采购预算且采购人不能接受的；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（5）报价文件附有采购人不能接受的条件的；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（6）评审小组认为本次报价不响应谈判文件实质性要求的；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（7）其它评审小组一致认为应作为无效报价的。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8、有以下情形的，将视为投标人互相串通投标，不得报名或投标无效：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（1）不同投标人委托同一单位或个人办理投标事宜；</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（2）不同投标人的谈判响应文件由同一单位或个人编制；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（3）不同投标人的谈判响应文件异常一致或者投标报价呈规律性差异；</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（4）不同投标人的谈判响应文件相互混装；</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（5）法定代表人为同一个人的两个及两个以上法人，母公司、全资子公司及其控股公司或有共同股东组成或主要管理人员中有共同人员的；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（6）不同投标人的投标响应文件载明的项目管理成员或者联系人为同一人。</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9、谈判人有下列弄虚作假的行为的，不得报名或投标无效：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（1）使用伪造、变造的许可证件；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（2）提供虚假的财务状况或者业绩；</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（3）提供虚假的项目负责人或者主要技术人员简历、劳动关系证明；</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（4）提供虚假的信用状况；</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（5）其他弄虚作假的行为。</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（6）谈判响应文件或报价文件中的签名代签或冒签的；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（7）被授权人委托他人投标，无委托书的。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10、“★”号条款：必须实质响应的条款，投标人不可负偏离，负偏离将导致技术分不得分，评审时认定为废标。“▲”号条款：可以偏离的响应条款，将影响谈判人的技术得分。</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11、投标响应文件自谈判响应文件接收截止时点起，三个月内有效。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12、以下情形，拒收投标响应文件：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（1）逾期送达；</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（2）未按投标文件要求密封。</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13、有下列情形，评审小组将否决其投标：</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（1）投标响应文件未经投标单位盖章和法人或单位负责人签字；</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（2）投标联合体没有提交共同投标协议；</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（3）同一投标人提交两个以上不同的投标响应文件或者投标报价，谈判文件要求提交备选投标的除外；</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（4）投标报价低于成本或者高于投标最高投标限价的；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（5）投标响应文件没有对谈判文件的实质性要求和条件作出响应的，评审小组认为明显不符合评审要求的技术规格、技术标准、采购数量；</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（6）谈判人有串通投标、弄虚作假等违法行为的；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（7）谈判响应文件出现雷同内容的；</w:t>
      </w:r>
    </w:p>
    <w:p>
      <w:pPr>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（8）开标现场存在争议的。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14、供应商在招投标过程中出现的以下不良行为的，将列入我院黑名单管理，在此后的三年内不得参与我院任何采买活动：</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（1）远低于成本价恶意竞价或提供虚假材料谋求中标/成交的；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（2）采取不正当手段诋毁、排挤其他潜在供应商的；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（3）与其他潜在供应商恶意串通围标的；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（4）近两年内有受到上级行政部门处罚或者存在违法行为的；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（5）随意申请撤换或放弃中标/成交结果的；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（6）中标、成交后无正当理由拒绝或迟迟不签订采购合同的；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（7）中标/成交后，超过合同约定的供货（或服务）时间未按要求执行，给采购人造成损害的；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（8）在谈判采购过程中，与相关部门协商谈判的；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（9）向医院涉及的相关部门行贿或者提供不正当利益的；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（10）拒绝有关部门监督检查或者提供虚假情况的；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（11）无正当理由拒绝履行合同和有关承诺，或擅自变更、中止（终止）采购合同的；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（12）提供假冒伪劣产品或走私物品的；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（13）不遵守开标现场纪律，扰乱评审现场，影响采购活动继续进行的；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（14）开标后擅自撤回采购相应文件，影响采购活动继续进行的；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（15）中标/成交后，擅自将采购合同转包或分包给其他供应商的；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（16）不按招投标响应文件的要求和承诺执行或擅自降低投标/响应承诺的产品质量和售后服务或以次充好、偷工减料的；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（17）实际提供的有关产品性能指标和技术服务能力明显低于采购响应文件或询价、谈判时的承诺的；</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（18）一年内有一次以上投诉查无实据、捏造事实或者提供虚假投诉材料的；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（19）连续两次供应商履约诚信量化评价得分不合格的供应商；</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（20）一年内累计达两次报名且未按规定提前一天发函告知不投标的。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15、投标人在响应投标文件中必须列出具体数值，如果投标人只注明“差不多”“接近”等不明确表述，或擅自修改谈判文件的投标技术、商务等要求的将导致评审小组拒绝其投标。</w:t>
      </w:r>
    </w:p>
    <w:p>
      <w:pPr>
        <w:pStyle w:val="7"/>
        <w:adjustRightInd w:val="0"/>
        <w:snapToGrid w:val="0"/>
        <w:spacing w:line="5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二、招标文件</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招标文件主要由1) 投标邀请书；2) 采购项目内容；3) 投标人须知；4) 在招标过程中由招标采购单位发出的修正和补充文件等。</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3、投标人应在收到招标文件后，仔细阅读，有疑问的应在报名有效工作时间内提出质疑。在规定的时间内未对招标文件要求澄清或提出疑问的，我院将视其为无异议，不再接受对招标文件内容的质疑。 </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4、要求响应人报名后应参加投标，报名后不投标的应在投标截止日前一天前致函我院信息部说明情况。如未致函说明者，将记不良行为一次，一年累计达两次者将被列入黑名单。 </w:t>
      </w:r>
    </w:p>
    <w:p>
      <w:pPr>
        <w:pStyle w:val="7"/>
        <w:adjustRightInd w:val="0"/>
        <w:snapToGrid w:val="0"/>
        <w:spacing w:line="360" w:lineRule="auto"/>
        <w:rPr>
          <w:rFonts w:ascii="仿宋" w:hAnsi="仿宋" w:eastAsia="仿宋" w:cs="仿宋"/>
          <w:sz w:val="24"/>
          <w:szCs w:val="24"/>
        </w:rPr>
      </w:pPr>
      <w:r>
        <w:rPr>
          <w:rFonts w:hint="eastAsia" w:ascii="方正黑体_GBK" w:hAnsi="方正黑体_GBK" w:eastAsia="方正黑体_GBK" w:cs="方正黑体_GBK"/>
          <w:sz w:val="32"/>
          <w:szCs w:val="32"/>
        </w:rPr>
        <w:t xml:space="preserve">三、投标文件的编制和数量 </w:t>
      </w:r>
      <w:r>
        <w:rPr>
          <w:rFonts w:hint="eastAsia" w:ascii="仿宋" w:hAnsi="仿宋" w:eastAsia="仿宋" w:cs="仿宋"/>
          <w:sz w:val="24"/>
          <w:szCs w:val="24"/>
        </w:rPr>
        <w:t xml:space="preserve">   </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人提交的投标文件（含资格性文件）以及投标人与我院信息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2、投标文件的构成应符合法律法规及招标文件的要求。</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4、投标人应完整、真实、准确的填写招标文件中规定的所有内容。</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5、投标人必须对投标文件所提供的全部资料的真实性承担法律责任，并无条件接受我院信息部和监督管理小组等对其中任何资料进行核实的要求。</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6、如果因为投标人投标文件填报的内容不详，或没有提供招标文件中所要求的全部资料及数据，由此造成的后果，其责任由投标人承担。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7、投标人所提供的货物和服务均应以人民币报价，若同时以人民币及外币报价的，以人民币报价为准。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8、投标总价中不得缺漏招标文件所要求的内容，否则，其投标将可能被视为无效投标。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四、投标文件的递交</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3、投标人所提交的投标文件及附属非原件资料在评标结束后，无论中标与否都不予退还。</w:t>
      </w:r>
    </w:p>
    <w:p>
      <w:pPr>
        <w:pStyle w:val="7"/>
        <w:adjustRightInd w:val="0"/>
        <w:snapToGrid w:val="0"/>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五、开标、评标和定标</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（一）开标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（二）评审小组的组成</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（三）定 标</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1、评审小组认为招标文件的内容存在违反国家有关强制性规定的，应当停止评审并向采购办说明情况。</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如出现得分一致的多名第一候选中标人时，由评审小组依据设备性能优越（即技术参数/方案响应最佳）的原则优选中标人。</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5、凡发现中标供应商有下列行为之一的，将移交涉监管部门依法处理。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（1）提供虚假材料谋取中标；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（2）采取不正当手段诋毁、排挤其他供应商；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（3）与采购人、其他供应商或者招标工作人员恶意串通；</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（4）向采购人、招标工作人员行贿或者提供其他不正当利益；</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（5）拒绝有关部门监督检查或者提供虚假情况；</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（6）向评审小组成员行贿或者提供其他不正当利益；</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（7）中标或者成交后无正当理由拒不与采购人签订采购合同；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（8）未按照采购文件确定的事项签订采购合同；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（9）将采购合同转包；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（10）提供假冒伪劣产品；</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（11）擅自变更、中止或者终止采购合同；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（12）有法律、法规规定的其他损害招标采购机构利益和社会公共利益情形的。</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、废标条件与处理</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在公开招标采购中，出现下列情形之一的，应予废标：</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（一）符合专业条件的供应商或者对招标文件作实质响应的供应商不足三家的；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（二）出现影响采购公正的违法、违规行为的；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（三）投标人的报价均超过了采购预算；</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（四）因重大变故，采购任务取消的；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（五）投标文件未经投标单位盖章和单位负责人签字。</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废标后，除采购任务取消情形外，应当重新组织招标。</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、公 示</w:t>
      </w:r>
    </w:p>
    <w:p>
      <w:pPr>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1、评标完成确定中标人后，</w:t>
      </w:r>
      <w:r>
        <w:rPr>
          <w:rFonts w:hint="eastAsia" w:ascii="方正仿宋_GBK" w:hAnsi="方正仿宋_GBK" w:eastAsia="方正仿宋_GBK" w:cs="方正仿宋_GBK"/>
          <w:sz w:val="28"/>
          <w:szCs w:val="28"/>
        </w:rPr>
        <w:t>在我院官网</w:t>
      </w:r>
      <w:r>
        <w:rPr>
          <w:rFonts w:ascii="方正仿宋_GBK" w:hAnsi="方正仿宋_GBK" w:eastAsia="方正仿宋_GBK" w:cs="方正仿宋_GBK"/>
          <w:sz w:val="28"/>
          <w:szCs w:val="28"/>
        </w:rPr>
        <w:t>发布中标公告。</w:t>
      </w:r>
    </w:p>
    <w:p>
      <w:pPr>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2、中标公告时间截止未收到投诉或者异议,</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发放中标通知书。</w:t>
      </w: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、质 疑</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1、供应商提出的询问或者质疑，由我院</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受理，并进行答疑等相关工作。</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3、质疑人捏造事实、提供虚假材料或者以非法手段取得证明材料进行质疑及无合理根据多次质疑的，都予以驳回，一并列入黑名单。</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4、采购办受理质疑后，质疑人书面申请撤回质疑的，应当终止质疑处理程序。</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5、不能对同一事项重复质疑。   </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6、未按规定报名的或未在规定截止时间完成投标的，不得质疑，</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 xml:space="preserve">不受理其任何质疑。     </w:t>
      </w:r>
    </w:p>
    <w:p>
      <w:pPr>
        <w:pStyle w:val="12"/>
        <w:widowControl/>
        <w:spacing w:beforeAutospacing="0" w:afterAutospacing="0"/>
      </w:pPr>
    </w:p>
    <w:p/>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1" w:fontKey="{E437FBFC-234D-4621-9B5E-C8C4A6F3D898}"/>
  </w:font>
  <w:font w:name="方正小标宋_GBK">
    <w:altName w:val="微软雅黑"/>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C528155B-0400-41C7-9D7C-550A779A2DA2}"/>
  </w:font>
  <w:font w:name="方正黑体_GBK">
    <w:altName w:val="微软雅黑"/>
    <w:panose1 w:val="020B0604020202020204"/>
    <w:charset w:val="86"/>
    <w:family w:val="auto"/>
    <w:pitch w:val="default"/>
    <w:sig w:usb0="00000000" w:usb1="00000000" w:usb2="00000000" w:usb3="00000000" w:csb0="00040000" w:csb1="00000000"/>
    <w:embedRegular r:id="rId3" w:fontKey="{C630F22A-5D48-4CDE-8B07-E98FBF59743F}"/>
  </w:font>
  <w:font w:name="方正粗黑宋简体">
    <w:altName w:val="宋体"/>
    <w:panose1 w:val="02000000000000000000"/>
    <w:charset w:val="86"/>
    <w:family w:val="auto"/>
    <w:pitch w:val="default"/>
    <w:sig w:usb0="00000000" w:usb1="00000000" w:usb2="00000012" w:usb3="00000000" w:csb0="00040001" w:csb1="00000000"/>
    <w:embedRegular r:id="rId4" w:fontKey="{1CF3C0BA-A0F6-4705-B4C1-99210577777A}"/>
  </w:font>
  <w:font w:name="方正楷体_GBK">
    <w:altName w:val="微软雅黑"/>
    <w:panose1 w:val="020B0604020202020204"/>
    <w:charset w:val="86"/>
    <w:family w:val="auto"/>
    <w:pitch w:val="default"/>
    <w:sig w:usb0="00000000" w:usb1="00000000" w:usb2="00000000" w:usb3="00000000" w:csb0="00040000" w:csb1="00000000"/>
    <w:embedRegular r:id="rId5" w:fontKey="{C2624BE4-50B6-4BC3-9A10-CCD3090F8B9B}"/>
  </w:font>
  <w:font w:name="Helvetica">
    <w:altName w:val="Arial"/>
    <w:panose1 w:val="00000000000000000000"/>
    <w:charset w:val="00"/>
    <w:family w:val="auto"/>
    <w:pitch w:val="default"/>
    <w:sig w:usb0="00000000" w:usb1="00000000" w:usb2="00000000" w:usb3="00000000" w:csb0="0000019F" w:csb1="00000000"/>
    <w:embedRegular r:id="rId6" w:fontKey="{B9E82ADE-FBDC-4CB6-B1EC-613750D79F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5CED"/>
    <w:multiLevelType w:val="singleLevel"/>
    <w:tmpl w:val="86B25CED"/>
    <w:lvl w:ilvl="0" w:tentative="0">
      <w:start w:val="1"/>
      <w:numFmt w:val="decimal"/>
      <w:lvlText w:val="%1."/>
      <w:lvlJc w:val="left"/>
      <w:pPr>
        <w:tabs>
          <w:tab w:val="left" w:pos="312"/>
        </w:tabs>
      </w:pPr>
    </w:lvl>
  </w:abstractNum>
  <w:abstractNum w:abstractNumId="1">
    <w:nsid w:val="92B2E6FE"/>
    <w:multiLevelType w:val="singleLevel"/>
    <w:tmpl w:val="92B2E6FE"/>
    <w:lvl w:ilvl="0" w:tentative="0">
      <w:start w:val="1"/>
      <w:numFmt w:val="chineseCounting"/>
      <w:suff w:val="nothing"/>
      <w:lvlText w:val="%1、"/>
      <w:lvlJc w:val="left"/>
      <w:rPr>
        <w:rFonts w:hint="eastAsia"/>
      </w:rPr>
    </w:lvl>
  </w:abstractNum>
  <w:abstractNum w:abstractNumId="2">
    <w:nsid w:val="96335185"/>
    <w:multiLevelType w:val="singleLevel"/>
    <w:tmpl w:val="96335185"/>
    <w:lvl w:ilvl="0" w:tentative="0">
      <w:start w:val="1"/>
      <w:numFmt w:val="chineseCounting"/>
      <w:suff w:val="nothing"/>
      <w:lvlText w:val="%1、"/>
      <w:lvlJc w:val="left"/>
      <w:rPr>
        <w:rFonts w:hint="eastAsia"/>
      </w:rPr>
    </w:lvl>
  </w:abstractNum>
  <w:abstractNum w:abstractNumId="3">
    <w:nsid w:val="C1C20C69"/>
    <w:multiLevelType w:val="singleLevel"/>
    <w:tmpl w:val="C1C20C69"/>
    <w:lvl w:ilvl="0" w:tentative="0">
      <w:start w:val="5"/>
      <w:numFmt w:val="decimal"/>
      <w:lvlText w:val="%1."/>
      <w:lvlJc w:val="left"/>
      <w:pPr>
        <w:tabs>
          <w:tab w:val="left" w:pos="312"/>
        </w:tabs>
      </w:pPr>
    </w:lvl>
  </w:abstractNum>
  <w:abstractNum w:abstractNumId="4">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5">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6">
    <w:nsid w:val="C938E288"/>
    <w:multiLevelType w:val="singleLevel"/>
    <w:tmpl w:val="C938E288"/>
    <w:lvl w:ilvl="0" w:tentative="0">
      <w:start w:val="3"/>
      <w:numFmt w:val="decimal"/>
      <w:suff w:val="nothing"/>
      <w:lvlText w:val="%1、"/>
      <w:lvlJc w:val="left"/>
    </w:lvl>
  </w:abstractNum>
  <w:abstractNum w:abstractNumId="7">
    <w:nsid w:val="F074A7C5"/>
    <w:multiLevelType w:val="singleLevel"/>
    <w:tmpl w:val="F074A7C5"/>
    <w:lvl w:ilvl="0" w:tentative="0">
      <w:start w:val="2"/>
      <w:numFmt w:val="chineseCounting"/>
      <w:suff w:val="nothing"/>
      <w:lvlText w:val="第%1部分　"/>
      <w:lvlJc w:val="left"/>
      <w:rPr>
        <w:rFonts w:hint="eastAsia"/>
      </w:rPr>
    </w:lvl>
  </w:abstractNum>
  <w:abstractNum w:abstractNumId="8">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9">
    <w:nsid w:val="F8896876"/>
    <w:multiLevelType w:val="singleLevel"/>
    <w:tmpl w:val="F8896876"/>
    <w:lvl w:ilvl="0" w:tentative="0">
      <w:start w:val="1"/>
      <w:numFmt w:val="decimal"/>
      <w:suff w:val="nothing"/>
      <w:lvlText w:val="（%1）"/>
      <w:lvlJc w:val="left"/>
    </w:lvl>
  </w:abstractNum>
  <w:abstractNum w:abstractNumId="10">
    <w:nsid w:val="070F6F76"/>
    <w:multiLevelType w:val="multilevel"/>
    <w:tmpl w:val="070F6F76"/>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1">
    <w:nsid w:val="1C582056"/>
    <w:multiLevelType w:val="multilevel"/>
    <w:tmpl w:val="1C5820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1E45E5D"/>
    <w:multiLevelType w:val="multilevel"/>
    <w:tmpl w:val="21E45E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4837155"/>
    <w:multiLevelType w:val="multilevel"/>
    <w:tmpl w:val="248371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975D6"/>
    <w:multiLevelType w:val="singleLevel"/>
    <w:tmpl w:val="272975D6"/>
    <w:lvl w:ilvl="0" w:tentative="0">
      <w:start w:val="4"/>
      <w:numFmt w:val="decimal"/>
      <w:suff w:val="nothing"/>
      <w:lvlText w:val="%1、"/>
      <w:lvlJc w:val="left"/>
    </w:lvl>
  </w:abstractNum>
  <w:abstractNum w:abstractNumId="15">
    <w:nsid w:val="372E2C3A"/>
    <w:multiLevelType w:val="multilevel"/>
    <w:tmpl w:val="372E2C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8B07420"/>
    <w:multiLevelType w:val="multilevel"/>
    <w:tmpl w:val="38B074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18">
    <w:nsid w:val="4AFC65DC"/>
    <w:multiLevelType w:val="multilevel"/>
    <w:tmpl w:val="4AFC65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2C22333"/>
    <w:multiLevelType w:val="multilevel"/>
    <w:tmpl w:val="52C2233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21">
    <w:nsid w:val="540878E5"/>
    <w:multiLevelType w:val="multilevel"/>
    <w:tmpl w:val="540878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5F71FE4"/>
    <w:multiLevelType w:val="multilevel"/>
    <w:tmpl w:val="55F71F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75CABA0"/>
    <w:multiLevelType w:val="singleLevel"/>
    <w:tmpl w:val="575CABA0"/>
    <w:lvl w:ilvl="0" w:tentative="0">
      <w:start w:val="6"/>
      <w:numFmt w:val="decimal"/>
      <w:suff w:val="nothing"/>
      <w:lvlText w:val="%1、"/>
      <w:lvlJc w:val="left"/>
    </w:lvl>
  </w:abstractNum>
  <w:abstractNum w:abstractNumId="24">
    <w:nsid w:val="5F3B6425"/>
    <w:multiLevelType w:val="singleLevel"/>
    <w:tmpl w:val="5F3B6425"/>
    <w:lvl w:ilvl="0" w:tentative="0">
      <w:start w:val="1"/>
      <w:numFmt w:val="decimal"/>
      <w:suff w:val="nothing"/>
      <w:lvlText w:val="（%1）"/>
      <w:lvlJc w:val="left"/>
    </w:lvl>
  </w:abstractNum>
  <w:abstractNum w:abstractNumId="25">
    <w:nsid w:val="609B70BE"/>
    <w:multiLevelType w:val="multilevel"/>
    <w:tmpl w:val="609B70B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25D6040"/>
    <w:multiLevelType w:val="multilevel"/>
    <w:tmpl w:val="625D60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5A402EC"/>
    <w:multiLevelType w:val="multilevel"/>
    <w:tmpl w:val="65A402E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EAE5E39"/>
    <w:multiLevelType w:val="multilevel"/>
    <w:tmpl w:val="6EAE5E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FF306B4"/>
    <w:multiLevelType w:val="multilevel"/>
    <w:tmpl w:val="6FF306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2F75159"/>
    <w:multiLevelType w:val="multilevel"/>
    <w:tmpl w:val="72F75159"/>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1">
    <w:nsid w:val="7A611FF1"/>
    <w:multiLevelType w:val="multilevel"/>
    <w:tmpl w:val="7A611F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F721C67"/>
    <w:multiLevelType w:val="multilevel"/>
    <w:tmpl w:val="7F721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20"/>
  </w:num>
  <w:num w:numId="3">
    <w:abstractNumId w:val="4"/>
  </w:num>
  <w:num w:numId="4">
    <w:abstractNumId w:val="7"/>
  </w:num>
  <w:num w:numId="5">
    <w:abstractNumId w:val="1"/>
  </w:num>
  <w:num w:numId="6">
    <w:abstractNumId w:val="6"/>
  </w:num>
  <w:num w:numId="7">
    <w:abstractNumId w:val="0"/>
  </w:num>
  <w:num w:numId="8">
    <w:abstractNumId w:val="2"/>
  </w:num>
  <w:num w:numId="9">
    <w:abstractNumId w:val="29"/>
  </w:num>
  <w:num w:numId="10">
    <w:abstractNumId w:val="32"/>
  </w:num>
  <w:num w:numId="11">
    <w:abstractNumId w:val="13"/>
  </w:num>
  <w:num w:numId="12">
    <w:abstractNumId w:val="22"/>
  </w:num>
  <w:num w:numId="13">
    <w:abstractNumId w:val="18"/>
  </w:num>
  <w:num w:numId="14">
    <w:abstractNumId w:val="27"/>
  </w:num>
  <w:num w:numId="15">
    <w:abstractNumId w:val="15"/>
  </w:num>
  <w:num w:numId="16">
    <w:abstractNumId w:val="12"/>
  </w:num>
  <w:num w:numId="17">
    <w:abstractNumId w:val="31"/>
  </w:num>
  <w:num w:numId="18">
    <w:abstractNumId w:val="10"/>
  </w:num>
  <w:num w:numId="19">
    <w:abstractNumId w:val="30"/>
  </w:num>
  <w:num w:numId="20">
    <w:abstractNumId w:val="21"/>
  </w:num>
  <w:num w:numId="21">
    <w:abstractNumId w:val="19"/>
  </w:num>
  <w:num w:numId="22">
    <w:abstractNumId w:val="25"/>
  </w:num>
  <w:num w:numId="23">
    <w:abstractNumId w:val="26"/>
  </w:num>
  <w:num w:numId="24">
    <w:abstractNumId w:val="16"/>
  </w:num>
  <w:num w:numId="25">
    <w:abstractNumId w:val="28"/>
  </w:num>
  <w:num w:numId="26">
    <w:abstractNumId w:val="11"/>
  </w:num>
  <w:num w:numId="27">
    <w:abstractNumId w:val="8"/>
  </w:num>
  <w:num w:numId="28">
    <w:abstractNumId w:val="5"/>
  </w:num>
  <w:num w:numId="29">
    <w:abstractNumId w:val="14"/>
  </w:num>
  <w:num w:numId="30">
    <w:abstractNumId w:val="24"/>
  </w:num>
  <w:num w:numId="31">
    <w:abstractNumId w:val="3"/>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0470926"/>
    <w:rsid w:val="005A1CC3"/>
    <w:rsid w:val="0085638E"/>
    <w:rsid w:val="008C2927"/>
    <w:rsid w:val="008E1D53"/>
    <w:rsid w:val="00A22F5F"/>
    <w:rsid w:val="00D307DF"/>
    <w:rsid w:val="00F66980"/>
    <w:rsid w:val="01FF7293"/>
    <w:rsid w:val="03895B62"/>
    <w:rsid w:val="14047793"/>
    <w:rsid w:val="147D296F"/>
    <w:rsid w:val="169C7A38"/>
    <w:rsid w:val="29DF3921"/>
    <w:rsid w:val="2F587767"/>
    <w:rsid w:val="3B7E40F6"/>
    <w:rsid w:val="40001339"/>
    <w:rsid w:val="5DA0206F"/>
    <w:rsid w:val="6A6177EF"/>
    <w:rsid w:val="7C3E2097"/>
    <w:rsid w:val="7C4A6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9"/>
    <w:pPr>
      <w:keepNext/>
      <w:keepLines/>
      <w:numPr>
        <w:ilvl w:val="1"/>
        <w:numId w:val="1"/>
      </w:numPr>
      <w:spacing w:beforeLines="50" w:afterLines="50"/>
      <w:outlineLvl w:val="1"/>
    </w:pPr>
    <w:rPr>
      <w:b/>
      <w:sz w:val="28"/>
      <w:szCs w:val="20"/>
    </w:rPr>
  </w:style>
  <w:style w:type="paragraph" w:styleId="5">
    <w:name w:val="heading 3"/>
    <w:basedOn w:val="1"/>
    <w:next w:val="1"/>
    <w:qFormat/>
    <w:uiPriority w:val="9"/>
    <w:pPr>
      <w:keepNext/>
      <w:keepLines/>
      <w:numPr>
        <w:ilvl w:val="2"/>
        <w:numId w:val="1"/>
      </w:numPr>
      <w:spacing w:beforeLines="50" w:afterLines="50"/>
      <w:outlineLvl w:val="2"/>
    </w:pPr>
    <w:rPr>
      <w:b/>
      <w:sz w:val="28"/>
      <w:szCs w:val="20"/>
    </w:rPr>
  </w:style>
  <w:style w:type="paragraph" w:styleId="6">
    <w:name w:val="heading 4"/>
    <w:basedOn w:val="1"/>
    <w:next w:val="1"/>
    <w:qFormat/>
    <w:uiPriority w:val="9"/>
    <w:pPr>
      <w:keepNext/>
      <w:keepLines/>
      <w:numPr>
        <w:ilvl w:val="3"/>
        <w:numId w:val="1"/>
      </w:numPr>
      <w:spacing w:beforeLines="50" w:afterLines="50"/>
      <w:outlineLvl w:val="3"/>
    </w:pPr>
    <w:rPr>
      <w:b/>
      <w:sz w:val="28"/>
      <w:szCs w:val="2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Body Text 2"/>
    <w:basedOn w:val="1"/>
    <w:qFormat/>
    <w:uiPriority w:val="0"/>
    <w:pPr>
      <w:jc w:val="left"/>
    </w:pPr>
    <w:rPr>
      <w:rFonts w:ascii="仿宋_GB2312" w:hAnsi="宋体" w:eastAsia="仿宋_GB2312"/>
    </w:rPr>
  </w:style>
  <w:style w:type="paragraph" w:styleId="12">
    <w:name w:val="Normal (Web)"/>
    <w:basedOn w:val="1"/>
    <w:qFormat/>
    <w:uiPriority w:val="0"/>
    <w:pPr>
      <w:spacing w:beforeAutospacing="1" w:afterAutospacing="1"/>
      <w:jc w:val="left"/>
    </w:pPr>
    <w:rPr>
      <w:sz w:val="24"/>
    </w:rPr>
  </w:style>
  <w:style w:type="table" w:styleId="14">
    <w:name w:val="Table Grid"/>
    <w:basedOn w:val="1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无间隔1"/>
    <w:qFormat/>
    <w:uiPriority w:val="1"/>
    <w:pPr>
      <w:widowControl w:val="0"/>
      <w:jc w:val="center"/>
    </w:pPr>
    <w:rPr>
      <w:rFonts w:ascii="Times New Roman" w:hAnsi="Times New Roman" w:eastAsia="宋体" w:cs="Times New Roman"/>
      <w:sz w:val="21"/>
      <w:lang w:val="en-US" w:eastAsia="zh-CN" w:bidi="ar-SA"/>
    </w:rPr>
  </w:style>
  <w:style w:type="paragraph" w:customStyle="1" w:styleId="17">
    <w:name w:val="列出段落1"/>
    <w:basedOn w:val="1"/>
    <w:qFormat/>
    <w:uiPriority w:val="34"/>
    <w:pPr>
      <w:ind w:firstLine="420"/>
    </w:pPr>
    <w:rPr>
      <w:szCs w:val="22"/>
    </w:rPr>
  </w:style>
  <w:style w:type="paragraph" w:customStyle="1" w:styleId="18">
    <w:name w:val="_正文段落"/>
    <w:basedOn w:val="1"/>
    <w:qFormat/>
    <w:uiPriority w:val="0"/>
    <w:pPr>
      <w:spacing w:beforeLines="50" w:afterLines="50" w:line="360" w:lineRule="auto"/>
      <w:ind w:firstLine="200" w:firstLineChars="200"/>
    </w:pPr>
    <w:rPr>
      <w:rFonts w:ascii="Times New Roman" w:hAnsi="Times New Roman"/>
      <w:sz w:val="24"/>
    </w:rPr>
  </w:style>
  <w:style w:type="paragraph" w:customStyle="1" w:styleId="19">
    <w:name w:val="_Style 32"/>
    <w:basedOn w:val="1"/>
    <w:next w:val="20"/>
    <w:qFormat/>
    <w:uiPriority w:val="34"/>
    <w:pPr>
      <w:ind w:firstLine="420" w:firstLineChars="200"/>
    </w:pPr>
    <w:rPr>
      <w:rFonts w:ascii="Times New Roman" w:hAnsi="Times New Roman" w:eastAsia="黑体"/>
      <w:bCs/>
      <w:sz w:val="30"/>
      <w:szCs w:val="30"/>
    </w:rPr>
  </w:style>
  <w:style w:type="paragraph" w:styleId="20">
    <w:name w:val="List Paragraph"/>
    <w:basedOn w:val="1"/>
    <w:qFormat/>
    <w:uiPriority w:val="34"/>
    <w:pPr>
      <w:ind w:firstLine="420" w:firstLineChars="200"/>
    </w:pPr>
  </w:style>
  <w:style w:type="paragraph" w:customStyle="1" w:styleId="21">
    <w:name w:val="Table Paragraph"/>
    <w:basedOn w:val="1"/>
    <w:qFormat/>
    <w:uiPriority w:val="0"/>
    <w:pPr>
      <w:spacing w:after="160" w:line="259" w:lineRule="auto"/>
      <w:jc w:val="left"/>
    </w:pPr>
    <w:rPr>
      <w:rFonts w:ascii="宋体" w:hAnsi="宋体" w:cs="宋体"/>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3049</Words>
  <Characters>17385</Characters>
  <Lines>144</Lines>
  <Paragraphs>40</Paragraphs>
  <TotalTime>30</TotalTime>
  <ScaleCrop>false</ScaleCrop>
  <LinksUpToDate>false</LinksUpToDate>
  <CharactersWithSpaces>20394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2021-11-03T07:41:00Z</cp:lastPrinted>
  <dcterms:modified xsi:type="dcterms:W3CDTF">2021-12-23T17:34:35Z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E9A742CF9B5E4428A4FC9E94EF0FC7EF</vt:lpwstr>
  </property>
</Properties>
</file>