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H6-XXB-2021-006</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w:t>
      </w:r>
      <w:bookmarkStart w:id="1" w:name="_GoBack"/>
      <w:r>
        <w:rPr>
          <w:rFonts w:hint="eastAsia" w:ascii="方正黑体_GBK" w:hAnsi="方正黑体_GBK" w:eastAsia="方正黑体_GBK" w:cs="方正黑体_GBK"/>
          <w:b w:val="0"/>
          <w:bCs w:val="0"/>
          <w:color w:val="333333"/>
          <w:sz w:val="32"/>
          <w:szCs w:val="32"/>
          <w:lang w:val="en-US" w:eastAsia="zh-CN"/>
        </w:rPr>
        <w:t>消毒供应追溯管理信息系统</w:t>
      </w:r>
    </w:p>
    <w:bookmarkEnd w:id="1"/>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2021年9月22日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44"/>
          <w:szCs w:val="44"/>
        </w:rPr>
        <w:t>目      录</w:t>
      </w:r>
      <w:r>
        <w:rPr>
          <w:rFonts w:hint="eastAsia" w:ascii="方正黑体_GBK" w:hAnsi="方正黑体_GBK" w:eastAsia="方正黑体_GBK" w:cs="方正黑体_GBK"/>
          <w:b/>
          <w:bCs/>
          <w:caps/>
          <w:sz w:val="44"/>
          <w:szCs w:val="44"/>
        </w:rPr>
        <w:br w:type="textWrapping"/>
      </w:r>
    </w:p>
    <w:p>
      <w:pPr>
        <w:pStyle w:val="2"/>
        <w:numPr>
          <w:numId w:val="0"/>
        </w:numPr>
        <w:ind w:leftChars="0"/>
        <w:rPr>
          <w:rFonts w:hint="eastAsia"/>
        </w:rPr>
      </w:pPr>
    </w:p>
    <w:p>
      <w:pPr>
        <w:rPr>
          <w:rFonts w:hint="eastAsia"/>
        </w:rPr>
      </w:pPr>
    </w:p>
    <w:p>
      <w:pPr>
        <w:pStyle w:val="10"/>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H6-XXB-2021-006</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lang w:val="en-US" w:eastAsia="zh-CN"/>
        </w:rPr>
        <w:t>消毒供应追溯管理信息系统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2"/>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39"/>
        <w:gridCol w:w="846"/>
        <w:gridCol w:w="905"/>
        <w:gridCol w:w="1714"/>
        <w:gridCol w:w="1629"/>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kern w:val="2"/>
                <w:sz w:val="32"/>
                <w:szCs w:val="32"/>
                <w:lang w:val="en-US" w:eastAsia="zh-CN"/>
              </w:rPr>
              <w:t>+移动输液管理系统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75.5</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75.5</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rPr>
        <w:t>谈判文件请自行在挂网招标公告中下载附件。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val="en-US" w:eastAsia="zh-CN"/>
        </w:rPr>
        <w:t>2021年9月30日</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rPr>
      </w:pPr>
    </w:p>
    <w:p>
      <w:pPr>
        <w:pStyle w:val="2"/>
        <w:rPr>
          <w:rFonts w:hint="eastAsia"/>
        </w:rPr>
      </w:pPr>
    </w:p>
    <w:p>
      <w:pPr>
        <w:rPr>
          <w:rFonts w:hint="eastAsia"/>
        </w:rPr>
      </w:pPr>
    </w:p>
    <w:p>
      <w:pPr>
        <w:pStyle w:val="2"/>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5"/>
        <w:numPr>
          <w:ilvl w:val="2"/>
          <w:numId w:val="0"/>
        </w:numPr>
        <w:spacing w:before="156" w:after="156"/>
        <w:outlineLvl w:val="2"/>
        <w:rPr>
          <w:rFonts w:hint="eastAsia" w:ascii="方正黑体_GBK" w:hAnsi="方正黑体_GBK" w:eastAsia="方正黑体_GBK" w:cs="方正黑体_GBK"/>
          <w:b w:val="0"/>
          <w:bCs/>
          <w:sz w:val="32"/>
          <w:szCs w:val="32"/>
        </w:rPr>
      </w:pPr>
      <w:bookmarkStart w:id="0" w:name="_Toc214706651"/>
      <w:r>
        <w:rPr>
          <w:rFonts w:hint="eastAsia" w:ascii="方正黑体_GBK" w:hAnsi="方正黑体_GBK" w:eastAsia="方正黑体_GBK" w:cs="方正黑体_GBK"/>
          <w:b w:val="0"/>
          <w:bCs/>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目前，我院已经建立了覆盖医院信息管理、临床诊疗、医院管理及改善患者就医体验的一系列医疗信息化系统，现准备在住院病区开展移动医疗等应用。因此，提出移动医疗应用建设项目。</w:t>
      </w:r>
    </w:p>
    <w:p>
      <w:pPr>
        <w:rPr>
          <w:rFonts w:hint="eastAsia"/>
        </w:rPr>
      </w:pPr>
    </w:p>
    <w:p>
      <w:pPr>
        <w:pStyle w:val="2"/>
        <w:numPr>
          <w:ilvl w:val="0"/>
          <w:numId w:val="0"/>
        </w:numPr>
        <w:ind w:leftChars="0"/>
        <w:rPr>
          <w:rFonts w:hint="eastAsia"/>
        </w:rPr>
      </w:pPr>
    </w:p>
    <w:p>
      <w:pPr>
        <w:rPr>
          <w:rFonts w:hint="eastAsia"/>
        </w:rPr>
      </w:pPr>
    </w:p>
    <w:p>
      <w:pPr>
        <w:pStyle w:val="2"/>
        <w:numPr>
          <w:ilvl w:val="0"/>
          <w:numId w:val="0"/>
        </w:numPr>
        <w:ind w:leftChars="0"/>
        <w:rPr>
          <w:rFonts w:hint="eastAsia"/>
        </w:rPr>
      </w:pPr>
    </w:p>
    <w:bookmarkEnd w:id="0"/>
    <w:p>
      <w:pPr>
        <w:pStyle w:val="6"/>
        <w:numPr>
          <w:ilvl w:val="3"/>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招标内容</w:t>
      </w:r>
    </w:p>
    <w:p>
      <w:pPr>
        <w:spacing w:line="360" w:lineRule="auto"/>
        <w:rPr>
          <w:rFonts w:ascii="仿宋" w:hAnsi="仿宋" w:eastAsia="仿宋" w:cs="宋体"/>
          <w:b/>
          <w:bCs/>
          <w:sz w:val="24"/>
        </w:rPr>
      </w:pPr>
      <w:r>
        <w:rPr>
          <w:rFonts w:hint="eastAsia" w:ascii="仿宋" w:hAnsi="仿宋" w:eastAsia="仿宋" w:cs="宋体"/>
          <w:b/>
          <w:bCs/>
          <w:sz w:val="24"/>
        </w:rPr>
        <w:t>采购项目需求清单：</w:t>
      </w:r>
    </w:p>
    <w:p>
      <w:pPr>
        <w:spacing w:line="360" w:lineRule="auto"/>
        <w:rPr>
          <w:rFonts w:ascii="仿宋" w:hAnsi="仿宋" w:eastAsia="仿宋" w:cs="宋体"/>
          <w:b/>
          <w:bCs/>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686"/>
        <w:gridCol w:w="1294"/>
        <w:gridCol w:w="1134"/>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98"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序号</w:t>
            </w:r>
          </w:p>
        </w:tc>
        <w:tc>
          <w:tcPr>
            <w:tcW w:w="3686"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项目内容</w:t>
            </w:r>
          </w:p>
        </w:tc>
        <w:tc>
          <w:tcPr>
            <w:tcW w:w="1294"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数量</w:t>
            </w:r>
          </w:p>
        </w:tc>
        <w:tc>
          <w:tcPr>
            <w:tcW w:w="1134"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单位</w:t>
            </w:r>
          </w:p>
        </w:tc>
        <w:tc>
          <w:tcPr>
            <w:tcW w:w="1011"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3686" w:type="dxa"/>
            <w:vAlign w:val="center"/>
          </w:tcPr>
          <w:p>
            <w:pPr>
              <w:spacing w:line="360" w:lineRule="auto"/>
              <w:jc w:val="center"/>
              <w:rPr>
                <w:rFonts w:ascii="仿宋" w:hAnsi="仿宋" w:eastAsia="仿宋" w:cs="宋体"/>
                <w:sz w:val="24"/>
              </w:rPr>
            </w:pPr>
            <w:r>
              <w:rPr>
                <w:rFonts w:hint="eastAsia" w:ascii="仿宋" w:hAnsi="仿宋" w:eastAsia="仿宋" w:cs="宋体"/>
                <w:sz w:val="24"/>
              </w:rPr>
              <w:t>消毒供应追溯管理信息系统</w:t>
            </w:r>
          </w:p>
        </w:tc>
        <w:tc>
          <w:tcPr>
            <w:tcW w:w="1294" w:type="dxa"/>
            <w:vAlign w:val="center"/>
          </w:tcPr>
          <w:p>
            <w:pPr>
              <w:spacing w:line="360" w:lineRule="auto"/>
              <w:jc w:val="center"/>
              <w:rPr>
                <w:rFonts w:ascii="仿宋" w:hAnsi="仿宋" w:eastAsia="仿宋" w:cs="宋体"/>
                <w:sz w:val="24"/>
              </w:rPr>
            </w:pPr>
            <w:r>
              <w:rPr>
                <w:rFonts w:ascii="仿宋" w:hAnsi="仿宋" w:eastAsia="仿宋" w:cs="宋体"/>
                <w:sz w:val="24"/>
              </w:rPr>
              <w:t>1</w:t>
            </w:r>
          </w:p>
        </w:tc>
        <w:tc>
          <w:tcPr>
            <w:tcW w:w="1134" w:type="dxa"/>
            <w:vAlign w:val="center"/>
          </w:tcPr>
          <w:p>
            <w:pPr>
              <w:spacing w:line="360" w:lineRule="auto"/>
              <w:jc w:val="center"/>
              <w:rPr>
                <w:rFonts w:ascii="仿宋" w:hAnsi="仿宋" w:eastAsia="仿宋" w:cs="宋体"/>
                <w:sz w:val="24"/>
              </w:rPr>
            </w:pPr>
            <w:r>
              <w:rPr>
                <w:rFonts w:hint="eastAsia" w:ascii="仿宋" w:hAnsi="仿宋" w:eastAsia="仿宋" w:cs="宋体"/>
                <w:sz w:val="24"/>
              </w:rPr>
              <w:t>项</w:t>
            </w:r>
          </w:p>
        </w:tc>
        <w:tc>
          <w:tcPr>
            <w:tcW w:w="1011" w:type="dxa"/>
            <w:vAlign w:val="center"/>
          </w:tcPr>
          <w:p>
            <w:pPr>
              <w:spacing w:line="360" w:lineRule="auto"/>
              <w:jc w:val="center"/>
              <w:rPr>
                <w:rFonts w:ascii="仿宋" w:hAnsi="仿宋" w:eastAsia="仿宋" w:cs="宋体"/>
                <w:sz w:val="24"/>
              </w:rPr>
            </w:pPr>
          </w:p>
        </w:tc>
      </w:tr>
    </w:tbl>
    <w:p>
      <w:pPr>
        <w:autoSpaceDE w:val="0"/>
        <w:autoSpaceDN w:val="0"/>
        <w:spacing w:line="440" w:lineRule="exact"/>
        <w:rPr>
          <w:rFonts w:ascii="仿宋" w:hAnsi="仿宋" w:eastAsia="仿宋" w:cs="仿宋"/>
          <w:b/>
          <w:sz w:val="24"/>
        </w:rPr>
      </w:pPr>
    </w:p>
    <w:p>
      <w:pPr>
        <w:autoSpaceDE w:val="0"/>
        <w:autoSpaceDN w:val="0"/>
        <w:spacing w:line="44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技术指标要求：</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一、总体需求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1、支持技术规范</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必须满足中华人民共和国卫生行业标准WS310-2016：《医院消毒供应中心管理规范》、《医院消毒供应中心清洗消毒及灭菌技术操作规范》和《医院消毒供应中心清洗消毒及灭菌效果监测标准》。</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2、信息化管理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实现消毒供应中心无菌物品处理流程的信息化，明确消毒供应中心工作人员的岗位职责，形成完善、科学的管理制度。</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3、全面质量追溯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使用条码扫描技术，实现对各类无菌包及医院消毒供应中心要求的其他非追溯物品在回收、清洗、清洗检测、包装、核包、灭菌、无菌储存、发放、使用等全生命周期闭环流程的全面质量追溯。</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二、技术要求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1、技术体系</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系统必须采用基于.NET平台的技术体系，基于主流的开放平台，支持多种操作系统架构，满足高可靠性以及可扩展性的需求。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▲2、系统架构</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系统要求基于C/S（客户端/服务器）和B/S架构（浏览器/服务器），前端客户机安装客户端程序和使用IE，使用简捷，易学易用，便于维护，保证代码安全，确保代码不会被反编译。</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3、系统支持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客户端操作系统应支持目前主流的操作系统，包括Windows XP、Windows 7/8/10等。</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4、数据库支持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系统应支持Oracle、SQL Server、MySQL、DB2等主流数据库，采用主流成熟的中间件系统，支持各类主流的服务器操作系统。</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▲5、接口架构</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系统应基于SOA架构，支持ESB服务总线，便于与其它系统的对接与扩展。要求利用XML或JSON作为系统接口的数据交换标准，进行信息资源整合。</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6、安全性控制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具备严格的权限管理及控制体系，并支持数字认证、数字签名等技术，可以方便的与CA系统整合，保证系统安全。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7、分布式管理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要求系统能够实现跨区域跨同网络使用，两套系统在不同的网络状态下实现数据互通。</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三、性能要求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8"/>
          <w:szCs w:val="28"/>
        </w:rPr>
        <w:t>、系统整体性能要求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后台管理系统要求支持最大并发量不小于100，同时在线人数不小于500，用户响应时间不大于3秒。</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2、稳定性</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通过良好的系统架构设计，可通过集群等软硬件设备的运用，通过与安全支撑平台的接口等多种手段，保证系统运行的稳定性。</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3、不间断性</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为保证系统二十四小时提供不间断访问，支持在关键路径上实现冗余，关键点上实现热备或群集，并保证运行中的数据同步和故障发生时系统自动接管或切换。</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▲4、可视化要求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回收、配包等环节可查看器械包图片。</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▲5、流程正确性控制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所有操作流程有错误的，通过语音以及突出字体显示，防止误操作</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四、软件功能要求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支持消毒物品全生命周期的跟踪与管理，涵盖医院消毒供应的各个环节，包括回收清点分类、清洗消毒、配包、审核、灭菌、发放，使用、申领等，实现全程信息化管理，完全取代纸质记录，可以为质量追溯、物品追踪与召回等应用提供详尽准确的信息。</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1、物品回收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通过扫描器械包条码对器械包进行回收，避免使用键盘鼠标操作。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回收时打开器械包，扫描器械包中的条码，当所有器械和系统中器械包的数据相同时，可以进行回收，否则报相应错误，如器械不匹配，缺少器械等。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支持器械包与科室关联的器械丢失及正常报损处理。 </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支持常规器械与固定手术器械包回收分类，通过扫描篮筐条码装载不同清洗物品准备清洗。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支持查看器械包和材料图片，支持图片放大缩小，切换图片，查看图片的细节内容。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支持常规器械快速回收，能批量回收不同科室器械，快速放入篮筐。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支持科室借用物品回收，根据科室借用申请单号对治疗包进行回收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支持对过期或不合格物品进行召回，对待召回物品，不允许发放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支持回收物品统计以及待回收物品提醒</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2、物品清洗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通过扫描操作条码，器械条码，清洗设备条码进行清洗操作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对清洗时间严格限制，清洗时间未达到标准的，不允许结束清洗。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支持清洗批次和清洗的物品查询。</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支持对已回收待清洗器械显示，通过勾选器械自动载入篮筐进行清洗操作。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对包含多个器械的器械包，清洗时逐一扫描器械包中的所有器械条码，进行器械包与单个器械的关联。</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清洗完成后自动进入装配管理、审核封包流程</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清洗过程可以进行STF监测，不合格器械包可整批或者单独退回到清洗流程重新清洗。并对清洗不合格记录进行登记。</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3、装配管理、审核封包</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器械包装配时扫描清洗篮筐条码，系统显示篮筐内物品清单。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打包过程中，对指定器械包需要逐一扫描器械包中的单个器械条码，如器械包中的器械与系统中数据不匹配时，则无法进入打包程序，防止器械包中的器械丢失。</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打包完成后系统自动为篮筐内器械包产生外部条码标签，标签内容包括：物品名称、配包者、审核者、灭菌日期、失效日期和器械包唯一标识条码。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支持自动完成配包审核记录，用户点击器械包名称可以查看该器械包的图片以及内容物清单。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用户完成装配后可以查看当天和所有历史装配记录，如果有标签损坏或者丢失可以重新打印标签。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可以方便的通过配置文件设计无菌物品包外标签所打印的信息和格式。</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支持科室自备包装备。</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▲4、器械包灭菌</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通过扫描器械包唯一标识条码和相应的灭菌器进行灭菌操作。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灭菌器流程错误时需要有语音播报提醒。灭菌完成后无需扫描条码能够自动进入规定存放区域。</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能够支持EO灭菌监测，高温灭菌日常监测，高温灭菌生物监测。</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对灭菌不合格的器械包能够进行回退重新灭菌，并记录灭菌日志，对灭菌不合格原因进行记录。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能够统计灭菌不合格比例，分析灭菌不合格原因。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5、无菌发放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通过扫描器械包唯一标识条码进行发放。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支持常规物品日常发放。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支持通过科室物品申请单进行发放。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可定义是否需要科室进行发放确认。</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支持发放记录查询。</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对错误发放器械包进行语音播报提醒</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支持发放优先级排序，对紧急科室，优先进行发放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支持科室物品更换，通过更换单进行发放</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▲6、科室申请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支持所有临床科室消毒和灭菌物品的申领，其信息包含：器械包更换申请、一次性物品申领、物品借用申请、外来器械包申请、自定义器械包申请。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物品查找方式支持拼音首字母、分类码和名称包含字符查找。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一次性物品查询提供动态库存和价格提示。</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支持输入物品的拼音简码，中文检索，物品编码，物品名称信息，并且可以看到该物品的价格。</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支持自定义器械套餐，常用器械组合定义套餐后，可以进行快速申请。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支持定义科室物品，对科室器械包优先进行选择，方便快捷。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支持清洗过程扫描申请单条码进行物品选择。</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手术器械的申请能够选择优先级，紧急物品，优先发放。</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▲7、器械包库存管理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支持一次性物品、常规器械、医疗耗材的出入库登记。</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一次性物品出库时必须要按照先入先出的原则进行发放。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能够对库房物品出入库记录进行统计，盘点。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对过期物品，强制出库，并做出库登记</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▲8、器械包的使用管理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器械包使用时必须对由科室使用人员进行拆包，依次扫描治疗包条码，治疗包中的所有器械条码，与系统中记录匹配时才可以使用。</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器械使用数据需要包含手术室编号，手术台编号，使用时间，拆包护士，手术医生，以及病人的相关信息。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▲9、追溯管理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支持一次性、非一次性物品的追溯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一次性物品追溯要包含：物品名称、发放时间、物品批次、过期时间、发放科室、发放数量、发放单号、发放人员、回退数量等信息。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非一次性物品通过扫描物品的治疗包唯一标识条形码进行追溯。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非一次性物品追溯要能够显示治疗包的实时状态，功能上要包含：清洗过程追溯、配包核包过程追溯、灭菌过程追溯、发放过程追溯、使用过程追溯、回收过程追溯。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清洗过程要求追溯信息包含清洗批次，开始时间，结束时间，清洗机编号等。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配包核包过程追溯要求能够追溯到打包员和核包员以及打包核包时间。</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灭菌过程追溯要求能够追溯到灭菌器、灭菌人员、灭菌起始时间、失效时间等相关信息。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发放追溯要求能够追溯到发放单号，发放到的科室，发放人员，发放时间等信息。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使用追溯：要求能够追溯到手术室信息，使用时间，使用到的病人信息等。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回收追溯要求能够追溯到回收时间以及回收的科室及回收人。</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能够对一次性、非一次性物品、手术器械、患者的使用情况、器械的申领情况进行统计分析。所有统计报表必须包含物品的详细信息，发放信息，清洗消毒灭菌信息，打包信息，以及使用的科室信息等详细数据。</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患者使用情况必须包含：手术室信息、病房信息、手术台编号，使用时间等信息。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要求对所有未归还物品进行系统提醒，所有损耗物品进行统计，分析物品损坏率及损坏原因。</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所有追溯报表可以打印以及导出为PDF或EXCEL报表格式。</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▲10、管理功能</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对所有人员的清洗、打包、灭菌等操作进行统计、统计每个工作人员的工作量，根据自定义绩效因子生成工作量统计表。</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必须具备排班管理功能，定义月、周、年的人员排班表（根据排班表指定不同人员在指定日期进行指定的工作）合理安排工作人员工作量。</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具备人员培训登记及培训考核功能，定期记录工作人员参加技能培训情况。</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对设备的使用情况进行分析统计、用直观的柱状图或者饼状图的图示方式来显示设备的日、月、年度工作情况，便于医院对设备的均衡使用进行调整。</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对所有的设备维护记录进行登记，对需要维护的设备进行系统提醒。</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具备计费功能，可以定义器械的计费方式以及计费时间，并对器械的使用计费情况进行统计。</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具备成本核算功能分月统计科室的工作成本。</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11、权限管理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能够根据定义用户分组，指定分组权限，如清洗权限，打包权限，发放权限等。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可以对单个用户指定操作权限，权限与分组权限叠加，比如分组权限中具有清洗权限，个人权限中有发放权限，则用户具有清洗和发放双重操作权限。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对用户不具备的权限不予显示，避免操作界面过于繁琐。</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12、数据维护</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支持对托盘、清洗机、灭菌器、器械包、一次性物品、耗材、设备的使用属性、存放区域、灭菌类型、科室信息等进行初始化及增加和修改。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清洗机数据必须包含：清洗机类型、厂家、生产日期、使用日期、以及单次清洗时间等信息。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灭菌器必须包含：灭菌类型、厂家、生产日期、使用日期、单次灭菌所需时间等信息。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灭菌类型要求对不同的包装和灭菌类型进行定义，定义有效期等。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培训考核数据：自定义培训单位、培训项目、培训类型。</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▲13、条码生成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支持条码自动生成以及打印功能，对所有的设备、器械、人员添加完数据后自动生成编码，通过条码生成功能打印输出条码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支持条码的重制，对丢失的治疗包条码，可以重新生成。</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14、外来器械包管理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功能包括器械清点登记，清洗，配包与审核，灭菌，生物监测，发放管理等。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于需要使用外来器械及植入物的手术，外来器械送至消毒供应中心前，需要先在系统中提交《外来器械及植入物需求申请单》；消毒供应中心根据申请单信息确认接收外来器械数量，再进行消毒供应中心内部环节处理。消毒供应中心配包时将打印外来器械包外条码标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外来器械包在完成接收和清洗之后，在装配环节支持用特殊标识以和其他器械包进行区分。对于包含内容物较多的外来器械包，应支持拆分成多个包进行包装，即支持拆包操作。</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▲15、多用户状态保存</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支持多用户操作同一台客户机、支持动态切换用户。</w:t>
      </w:r>
    </w:p>
    <w:p>
      <w:pPr>
        <w:spacing w:line="360" w:lineRule="auto"/>
        <w:ind w:firstLine="560" w:firstLineChars="20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保存用户操作状态，返回用户界面时，用户操作状态自动还原到切换用户之前的状态。</w:t>
      </w:r>
    </w:p>
    <w:p>
      <w:pPr>
        <w:rPr>
          <w:rFonts w:hint="eastAsia"/>
        </w:rPr>
      </w:pPr>
    </w:p>
    <w:p>
      <w:pPr>
        <w:pStyle w:val="5"/>
        <w:numPr>
          <w:ilvl w:val="2"/>
          <w:numId w:val="0"/>
        </w:numPr>
        <w:spacing w:before="156" w:after="156"/>
      </w:pPr>
      <w:r>
        <w:rPr>
          <w:rFonts w:hint="eastAsia"/>
          <w:lang w:val="en-US" w:eastAsia="zh-CN"/>
        </w:rPr>
        <w:t>2.</w:t>
      </w:r>
      <w:r>
        <w:rPr>
          <w:rFonts w:hint="eastAsia"/>
        </w:rPr>
        <w:t>其他要求</w:t>
      </w:r>
    </w:p>
    <w:p>
      <w:pPr>
        <w:numPr>
          <w:ilvl w:val="0"/>
          <w:numId w:val="0"/>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numPr>
          <w:ilvl w:val="0"/>
          <w:numId w:val="0"/>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1.</w:t>
      </w:r>
      <w:r>
        <w:rPr>
          <w:rFonts w:hint="eastAsia" w:ascii="方正仿宋_GBK" w:hAnsi="方正仿宋_GBK" w:eastAsia="方正仿宋_GBK" w:cs="方正仿宋_GBK"/>
          <w:snapToGrid w:val="0"/>
          <w:kern w:val="0"/>
          <w:sz w:val="28"/>
          <w:szCs w:val="28"/>
          <w:lang w:val="zh-CN" w:eastAsia="zh-CN" w:bidi="ar-SA"/>
        </w:rPr>
        <w:t>要求投标人对采购人进行全面技术培训，培训内容应包括：投标人所提供软件系统的性能、技术原理、操作使用方法，维护管理技术，并能实际上机操作。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2.</w:t>
      </w:r>
      <w:r>
        <w:rPr>
          <w:rFonts w:hint="eastAsia" w:ascii="方正仿宋_GBK" w:hAnsi="方正仿宋_GBK" w:eastAsia="方正仿宋_GBK" w:cs="方正仿宋_GBK"/>
          <w:snapToGrid w:val="0"/>
          <w:kern w:val="0"/>
          <w:sz w:val="28"/>
          <w:szCs w:val="28"/>
          <w:lang w:val="zh-CN" w:eastAsia="zh-CN" w:bidi="ar-SA"/>
        </w:rPr>
        <w:t>投标人应在投标文件中提交投标培训计划，并提供详细的培训教材（含使用手册）和培训教师。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3.</w:t>
      </w:r>
      <w:r>
        <w:rPr>
          <w:rFonts w:hint="eastAsia" w:ascii="方正仿宋_GBK" w:hAnsi="方正仿宋_GBK" w:eastAsia="方正仿宋_GBK" w:cs="方正仿宋_GBK"/>
          <w:snapToGrid w:val="0"/>
          <w:kern w:val="0"/>
          <w:sz w:val="28"/>
          <w:szCs w:val="28"/>
          <w:lang w:val="zh-CN" w:eastAsia="zh-CN" w:bidi="ar-SA"/>
        </w:rPr>
        <w:t>培训内容包括：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①系统管理员培训要求：熟悉整个系统的硬件和软件结构、系统的配置；熟练掌握系统基本组成及原理；熟练掌握系统的操作与运行管理；熟练掌握权限、用户配置等系统管理；熟练掌握系统的安装、检测、维护；熟练掌握排除故障的基本技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②业务人员培训要求：了解系统基本组成及各个模块的功能；熟练掌握操作步骤、注意事项、常见问题的解决办法等。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③全体员工宣讲要求：重点对系统的功能及操作使用说明。</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4</w:t>
      </w:r>
      <w:r>
        <w:rPr>
          <w:rFonts w:hint="eastAsia" w:ascii="方正仿宋_GBK" w:hAnsi="方正仿宋_GBK" w:eastAsia="方正仿宋_GBK" w:cs="方正仿宋_GBK"/>
          <w:snapToGrid w:val="0"/>
          <w:kern w:val="0"/>
          <w:sz w:val="28"/>
          <w:szCs w:val="28"/>
          <w:lang w:val="zh-CN" w:eastAsia="zh-CN" w:bidi="ar-SA"/>
        </w:rPr>
        <w:t>、所有的培训费用必须计入投标总价。</w:t>
      </w:r>
    </w:p>
    <w:p>
      <w:pPr>
        <w:rPr>
          <w:rFonts w:hint="eastAsia"/>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1、交货或服务时间、地点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（1）项目工期要求∶必须在合同签订后</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天内完成供货、实施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并承担由此产生的全部等费用。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2、验收要求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验收应在采购人和中标人双方共同参与下完成，按国家有关规定、规范进行。</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（1）按实际交付功能模块进行验收结算。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（2）投标人需协助招标人制定系统验收标准，系统验收标准需通过招标人审核。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（3）投标人必须根据测试方案提出验收方案和验收文档清单并协助招标人进行验收，招标人根据验收方案对系统每个模块进行逐一验收。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（4）投标人应在项目验收前将以下资料文档汇集成册交付招标人，招标人只有文档齐全后才予验收：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①运行稳定可靠的系统及其安装程序；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②有关产品说明书、安装手册、操作手册、技术文件资料、系统运行报告及验收报告等。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3、售后服务要求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投标人负责对本次项目采购的所有软硬件提供</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年的免费</w:t>
      </w:r>
      <w:r>
        <w:rPr>
          <w:rFonts w:hint="eastAsia" w:ascii="方正仿宋_GBK" w:hAnsi="方正仿宋_GBK" w:eastAsia="方正仿宋_GBK" w:cs="方正仿宋_GBK"/>
          <w:sz w:val="28"/>
          <w:szCs w:val="28"/>
          <w:lang w:eastAsia="zh-CN"/>
        </w:rPr>
        <w:t>质保</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。系统验收合格起开始进入免费维护期。免费维护期满后，每年维护费用不超过合同总金额的 10% ，双方另外签订维护服务合同。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招标人对本系统的使用过程中，如果出现程序错误，投标人必须在24小时内提供故障分析和处理方案，提供系统修改、测试验收及现场支持等服务。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投标人接到招标人应急报障后，立即通过电话进行应急响应支持，若30分钟仍无法排除故障，应在2小时内到达招标人现场提供技术支持。如故障影响到我司系统运行，造成严重问题的，投标人必须在接到报障后2小时内提供故障分析和处理方案。投标人保证到场后6小时内恢复招标人应用系统的正常运行，故障排除后3个工作日内向招标人提交《维护服务报告（应急）》，内容包括：应急处理人员、处理日期、故障现象、原因分析、应急处理措施及效果、建议解决方案等。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r>
        <w:rPr>
          <w:rFonts w:hint="default" w:ascii="方正仿宋_GBK" w:hAnsi="方正仿宋_GBK" w:eastAsia="方正仿宋_GBK" w:cs="方正仿宋_GBK"/>
          <w:sz w:val="28"/>
          <w:szCs w:val="28"/>
          <w:lang w:val="en-US" w:eastAsia="zh-CN"/>
        </w:rPr>
        <w:t xml:space="preserve">巡检服务 自系统投产上线后，投标人为招标人提供本系统 每半年一次 的现场巡检服务，进行保养性维护。投标人提供的巡检服务内容包括本系统的性能检查、系统保养和日常维护等，要求包括：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①对应用系统使用情况、操作系统相关配置、数据库相关设置及性能的检查；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②对应用系统的参数配置、应用系统日志、功能及性能情况进行全面检查，评估应用系统运行过程中可能存在的风险，预测系统的业务支持能力并提出合理使用及优化建议等。 </w:t>
      </w:r>
    </w:p>
    <w:p>
      <w:pPr>
        <w:pStyle w:val="11"/>
        <w:keepNext w:val="0"/>
        <w:keepLines w:val="0"/>
        <w:widowControl/>
        <w:numPr>
          <w:ilvl w:val="0"/>
          <w:numId w:val="0"/>
        </w:numPr>
        <w:suppressLineNumbers w:val="0"/>
        <w:spacing w:before="0" w:beforeAutospacing="0" w:after="0" w:afterAutospacing="0"/>
        <w:ind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5、付款要求</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合同签订后，收到供货方提供的正式发票后在30个工作日内支付合同金额的40%；</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在本项目通过整体验收后的30个工作日内，支付合同总金额的55%</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在本项目通过整体验收之日起，一年质保期满后，付合同总金额的5%</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1"/>
        <w:keepNext w:val="0"/>
        <w:keepLines w:val="0"/>
        <w:widowControl/>
        <w:numPr>
          <w:ilvl w:val="0"/>
          <w:numId w:val="0"/>
        </w:numPr>
        <w:suppressLineNumbers w:val="0"/>
        <w:spacing w:before="0" w:beforeAutospacing="0" w:after="0" w:afterAutospacing="0"/>
        <w:ind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6、其他要求</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★本项目系统必须与现有医院信息系统无缝对接，由此而引发的一切费用，均由投标人自行承担。</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7、报价要求</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采用人民币报价，投标人报价中必须包括项目全部内容的费用（包括安装配件、安装组件、吊装、配送、相关法律规定的必须的检验、验收、税金等），费用不管是否在投标人报价书中单列，均视为投标总价中已包括该费用。</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投标人的投标报价比采购预算价低25%以上（含25%），有可能影响服务质量或不能诚信履约的，投标人按要求提供了报价合理性的书面说明或证明，且评标委员会认定投标人对此报价的书面说明或证明材料可以佐证此报价的服务质量和具有合理履约能力的予以通过审查，否则不予通过审查（说明：投标人的投标报价比采购预算价低25%以上（含25%），投标人的投标文件提供书面说明或成本清单等相关证明材料）。</w:t>
      </w: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numPr>
          <w:ilvl w:val="0"/>
          <w:numId w:val="4"/>
        </w:numPr>
        <w:spacing w:line="360" w:lineRule="auto"/>
        <w:ind w:left="0" w:leftChars="0" w:firstLine="0" w:firstLineChars="0"/>
        <w:jc w:val="center"/>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2"/>
        <w:numPr>
          <w:ilvl w:val="0"/>
          <w:numId w:val="0"/>
        </w:numPr>
        <w:ind w:leftChars="0"/>
        <w:rPr>
          <w:rFonts w:hint="eastAsia"/>
        </w:rPr>
      </w:pPr>
    </w:p>
    <w:p>
      <w:pPr>
        <w:pStyle w:val="7"/>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   一、说  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1120" w:firstLineChars="4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left="600"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7"/>
        <w:adjustRightInd w:val="0"/>
        <w:snapToGrid w:val="0"/>
        <w:spacing w:line="360" w:lineRule="auto"/>
        <w:ind w:firstLine="560"/>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7"/>
        <w:adjustRightInd w:val="0"/>
        <w:snapToGrid w:val="0"/>
        <w:spacing w:line="360" w:lineRule="auto"/>
        <w:ind w:firstLine="280" w:firstLineChars="100"/>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9"/>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7"/>
        <w:adjustRightInd w:val="0"/>
        <w:snapToGrid w:val="0"/>
        <w:spacing w:line="360" w:lineRule="auto"/>
        <w:ind w:firstLine="481"/>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 xml:space="preserve"> 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7"/>
        <w:adjustRightInd w:val="0"/>
        <w:snapToGrid w:val="0"/>
        <w:spacing w:line="360" w:lineRule="auto"/>
        <w:ind w:firstLine="486"/>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ind w:firstLine="486"/>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7"/>
        <w:adjustRightInd w:val="0"/>
        <w:snapToGrid w:val="0"/>
        <w:spacing w:line="360" w:lineRule="auto"/>
        <w:ind w:firstLine="486"/>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（一）开标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（二）评审小组的组成</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（三）定 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（1）提供虚假材料谋取中标；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（2）采取不正当手段诋毁、排挤其他供应商；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（3）与采购人、其他供应商或者招标工作人员恶意串通；</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（4）向采购人、招标工作人员行贿或者提供其他不正当利益；</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（5）拒绝有关部门监督检查或者提供虚假情况；</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（6）向评审小组成员行贿或者提供其他不正当利益；</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（7）中标或者成交后无正当理由拒不与采购人签订采购合同；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（8）未按照采购文件确定的事项签订采购合同；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（9）将采购合同转包；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（10）提供假冒伪劣产品；</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（11）擅自变更、中止或者终止采购合同；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（12）有法律、法规规定的其他损害招标采购机构利益和社会公共利益情形的。</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eastAsia" w:ascii="方正仿宋_GBK" w:hAnsi="方正仿宋_GBK" w:eastAsia="方正仿宋_GBK" w:cs="方正仿宋_GBK"/>
          <w:b w:val="0"/>
          <w:bCs w:val="0"/>
          <w:snapToGrid w:val="0"/>
          <w:kern w:val="0"/>
          <w:sz w:val="28"/>
          <w:szCs w:val="28"/>
          <w:lang w:val="en-US" w:eastAsia="zh-CN" w:bidi="ar-SA"/>
        </w:rPr>
        <w:t>六</w:t>
      </w:r>
      <w:r>
        <w:rPr>
          <w:rFonts w:hint="default" w:ascii="方正仿宋_GBK" w:hAnsi="方正仿宋_GBK" w:eastAsia="方正仿宋_GBK" w:cs="方正仿宋_GBK"/>
          <w:b w:val="0"/>
          <w:bCs w:val="0"/>
          <w:snapToGrid w:val="0"/>
          <w:kern w:val="0"/>
          <w:sz w:val="28"/>
          <w:szCs w:val="28"/>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（五）投标文件未经投标单位盖章和单位负责人签字。</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10"/>
        </w:numPr>
        <w:ind w:left="140" w:leftChars="0" w:firstLine="0" w:firstLineChars="0"/>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公 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w:t>
      </w:r>
      <w:r>
        <w:rPr>
          <w:rFonts w:hint="eastAsia" w:ascii="方正仿宋_GBK" w:hAnsi="方正仿宋_GBK" w:eastAsia="方正仿宋_GBK" w:cs="方正仿宋_GBK"/>
          <w:b w:val="0"/>
          <w:bCs w:val="0"/>
          <w:snapToGrid w:val="0"/>
          <w:kern w:val="0"/>
          <w:sz w:val="28"/>
          <w:szCs w:val="28"/>
          <w:lang w:val="en-US" w:eastAsia="zh-CN" w:bidi="ar-SA"/>
        </w:rPr>
        <w:t>八</w:t>
      </w:r>
      <w:r>
        <w:rPr>
          <w:rFonts w:hint="default" w:ascii="方正仿宋_GBK" w:hAnsi="方正仿宋_GBK" w:eastAsia="方正仿宋_GBK" w:cs="方正仿宋_GBK"/>
          <w:b w:val="0"/>
          <w:bCs w:val="0"/>
          <w:snapToGrid w:val="0"/>
          <w:kern w:val="0"/>
          <w:sz w:val="28"/>
          <w:szCs w:val="28"/>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6、未按规定报名的或未在规定截止时间完成投标的，不得质疑，采购管理办公室不受理其任何质疑。     </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2">
    <w:nsid w:val="F074A7C5"/>
    <w:multiLevelType w:val="singleLevel"/>
    <w:tmpl w:val="F074A7C5"/>
    <w:lvl w:ilvl="0" w:tentative="0">
      <w:start w:val="2"/>
      <w:numFmt w:val="chineseCounting"/>
      <w:suff w:val="nothing"/>
      <w:lvlText w:val="第%1部分　"/>
      <w:lvlJc w:val="left"/>
      <w:rPr>
        <w:rFonts w:hint="eastAsia"/>
      </w:rPr>
    </w:lvl>
  </w:abstractNum>
  <w:abstractNum w:abstractNumId="3">
    <w:nsid w:val="F8896876"/>
    <w:multiLevelType w:val="singleLevel"/>
    <w:tmpl w:val="F8896876"/>
    <w:lvl w:ilvl="0" w:tentative="0">
      <w:start w:val="1"/>
      <w:numFmt w:val="decimal"/>
      <w:suff w:val="nothing"/>
      <w:lvlText w:val="（%1）"/>
      <w:lvlJc w:val="left"/>
    </w:lvl>
  </w:abstractNum>
  <w:abstractNum w:abstractNumId="4">
    <w:nsid w:val="25D21278"/>
    <w:multiLevelType w:val="singleLevel"/>
    <w:tmpl w:val="25D21278"/>
    <w:lvl w:ilvl="0" w:tentative="0">
      <w:start w:val="1"/>
      <w:numFmt w:val="decimalEnclosedCircleChinese"/>
      <w:suff w:val="nothing"/>
      <w:lvlText w:val="%1　"/>
      <w:lvlJc w:val="left"/>
      <w:pPr>
        <w:ind w:left="0" w:firstLine="400"/>
      </w:pPr>
      <w:rPr>
        <w:rFonts w:hint="eastAsia"/>
      </w:rPr>
    </w:lvl>
  </w:abstractNum>
  <w:abstractNum w:abstractNumId="5">
    <w:nsid w:val="3C718A80"/>
    <w:multiLevelType w:val="singleLevel"/>
    <w:tmpl w:val="3C718A80"/>
    <w:lvl w:ilvl="0" w:tentative="0">
      <w:start w:val="7"/>
      <w:numFmt w:val="chineseCounting"/>
      <w:suff w:val="nothing"/>
      <w:lvlText w:val="%1、"/>
      <w:lvlJc w:val="left"/>
      <w:pPr>
        <w:ind w:left="140" w:leftChars="0" w:firstLine="0" w:firstLineChars="0"/>
      </w:pPr>
      <w:rPr>
        <w:rFonts w:hint="eastAsia"/>
      </w:rPr>
    </w:lvl>
  </w:abstractNum>
  <w:abstractNum w:abstractNumId="6">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7">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8">
    <w:nsid w:val="575CABA0"/>
    <w:multiLevelType w:val="singleLevel"/>
    <w:tmpl w:val="575CABA0"/>
    <w:lvl w:ilvl="0" w:tentative="0">
      <w:start w:val="6"/>
      <w:numFmt w:val="decimal"/>
      <w:suff w:val="nothing"/>
      <w:lvlText w:val="%1、"/>
      <w:lvlJc w:val="left"/>
    </w:lvl>
  </w:abstractNum>
  <w:abstractNum w:abstractNumId="9">
    <w:nsid w:val="5F3B6425"/>
    <w:multiLevelType w:val="singleLevel"/>
    <w:tmpl w:val="5F3B6425"/>
    <w:lvl w:ilvl="0" w:tentative="0">
      <w:start w:val="1"/>
      <w:numFmt w:val="decimal"/>
      <w:suff w:val="nothing"/>
      <w:lvlText w:val="（%1）"/>
      <w:lvlJc w:val="left"/>
    </w:lvl>
  </w:abstractNum>
  <w:num w:numId="1">
    <w:abstractNumId w:val="6"/>
  </w:num>
  <w:num w:numId="2">
    <w:abstractNumId w:val="7"/>
  </w:num>
  <w:num w:numId="3">
    <w:abstractNumId w:val="1"/>
  </w:num>
  <w:num w:numId="4">
    <w:abstractNumId w:val="2"/>
  </w:num>
  <w:num w:numId="5">
    <w:abstractNumId w:val="0"/>
  </w:num>
  <w:num w:numId="6">
    <w:abstractNumId w:val="9"/>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3895B62"/>
    <w:rsid w:val="0DC4771B"/>
    <w:rsid w:val="14047793"/>
    <w:rsid w:val="29873FF4"/>
    <w:rsid w:val="2D6F2CBD"/>
    <w:rsid w:val="2F587767"/>
    <w:rsid w:val="60701E2E"/>
    <w:rsid w:val="63D86916"/>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5">
    <w:name w:val="列出段落1"/>
    <w:basedOn w:val="1"/>
    <w:qFormat/>
    <w:uiPriority w:val="34"/>
    <w:pPr>
      <w:ind w:firstLine="42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2021-09-22T00:41:00Z</cp:lastPrinted>
  <dcterms:modified xsi:type="dcterms:W3CDTF">2021-09-24T00:29:46Z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BE6B9AB1CA7B44C1813548D78BB73B7C</vt:lpwstr>
  </property>
</Properties>
</file>