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惠州市第六人民医院</w:t>
      </w: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院内招标文件</w:t>
      </w:r>
    </w:p>
    <w:p>
      <w:pPr>
        <w:jc w:val="center"/>
        <w:rPr>
          <w:rFonts w:hint="eastAsia" w:ascii="方正小标宋_GBK" w:hAnsi="方正小标宋_GBK" w:eastAsia="方正小标宋_GBK" w:cs="方正小标宋_GBK"/>
          <w:sz w:val="44"/>
          <w:szCs w:val="44"/>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center"/>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文件编号：</w:t>
      </w:r>
      <w:r>
        <w:rPr>
          <w:rFonts w:hint="eastAsia" w:ascii="方正黑体_GBK" w:hAnsi="方正黑体_GBK" w:eastAsia="方正黑体_GBK" w:cs="方正黑体_GBK"/>
          <w:b w:val="0"/>
          <w:bCs w:val="0"/>
          <w:color w:val="333333"/>
          <w:sz w:val="32"/>
          <w:szCs w:val="32"/>
          <w:lang w:val="en-US" w:eastAsia="zh-CN"/>
        </w:rPr>
        <w:t>H6-XXB-2021-005</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采购项目：护理管理系统</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采购项目办公室：信息部</w:t>
      </w:r>
    </w:p>
    <w:p>
      <w:pPr>
        <w:jc w:val="center"/>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2021年 9月22日</w:t>
      </w: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both"/>
        <w:rPr>
          <w:rFonts w:hint="eastAsia" w:ascii="方正仿宋_GBK" w:hAnsi="方正仿宋_GBK" w:eastAsia="方正仿宋_GBK" w:cs="方正仿宋_GBK"/>
          <w:b w:val="0"/>
          <w:bCs w:val="0"/>
          <w:color w:val="333333"/>
          <w:sz w:val="32"/>
          <w:szCs w:val="32"/>
          <w:lang w:val="en-US" w:eastAsia="zh-CN"/>
        </w:rPr>
      </w:pPr>
    </w:p>
    <w:p>
      <w:pPr>
        <w:pageBreakBefore/>
        <w:jc w:val="center"/>
        <w:rPr>
          <w:rFonts w:hint="eastAsia" w:ascii="方正黑体_GBK" w:hAnsi="方正黑体_GBK" w:eastAsia="方正黑体_GBK" w:cs="方正黑体_GBK"/>
          <w:b/>
          <w:bCs/>
          <w:caps/>
          <w:sz w:val="44"/>
          <w:szCs w:val="44"/>
        </w:rPr>
      </w:pPr>
      <w:r>
        <w:rPr>
          <w:rFonts w:hint="eastAsia" w:ascii="方正黑体_GBK" w:hAnsi="方正黑体_GBK" w:eastAsia="方正黑体_GBK" w:cs="方正黑体_GBK"/>
          <w:b/>
          <w:bCs/>
          <w:sz w:val="72"/>
          <w:szCs w:val="72"/>
        </w:rPr>
        <w:t>目      录</w:t>
      </w:r>
      <w:r>
        <w:rPr>
          <w:rFonts w:hint="eastAsia" w:ascii="方正黑体_GBK" w:hAnsi="方正黑体_GBK" w:eastAsia="方正黑体_GBK" w:cs="方正黑体_GBK"/>
          <w:b/>
          <w:bCs/>
          <w:caps/>
          <w:sz w:val="72"/>
          <w:szCs w:val="72"/>
        </w:rPr>
        <w:br w:type="textWrapping"/>
      </w:r>
    </w:p>
    <w:p>
      <w:pPr>
        <w:rPr>
          <w:rFonts w:hint="eastAsia"/>
        </w:rPr>
      </w:pPr>
    </w:p>
    <w:p>
      <w:pPr>
        <w:pStyle w:val="2"/>
        <w:rPr>
          <w:rFonts w:hint="eastAsia"/>
        </w:rPr>
      </w:pPr>
    </w:p>
    <w:p>
      <w:pPr>
        <w:pStyle w:val="10"/>
        <w:tabs>
          <w:tab w:val="right" w:leader="dot" w:pos="9174"/>
        </w:tabs>
        <w:spacing w:line="360" w:lineRule="auto"/>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  投标邀请函</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  采购项目内容</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  投标人须知</w:t>
      </w:r>
    </w:p>
    <w:p>
      <w:pPr>
        <w:rPr>
          <w:rFonts w:hint="eastAsia" w:ascii="方正黑体_GBK" w:hAnsi="方正黑体_GBK" w:eastAsia="方正黑体_GBK" w:cs="方正黑体_GBK"/>
          <w:b/>
          <w:bCs/>
          <w:sz w:val="44"/>
          <w:szCs w:val="44"/>
        </w:rPr>
      </w:pPr>
    </w:p>
    <w:p>
      <w:pPr>
        <w:jc w:val="center"/>
        <w:rPr>
          <w:rFonts w:hint="default" w:ascii="方正仿宋_GBK" w:hAnsi="方正仿宋_GBK" w:eastAsia="方正仿宋_GBK" w:cs="方正仿宋_GBK"/>
          <w:b w:val="0"/>
          <w:bCs w:val="0"/>
          <w:color w:val="333333"/>
          <w:sz w:val="32"/>
          <w:szCs w:val="32"/>
          <w:lang w:val="en-US" w:eastAsia="zh-CN"/>
        </w:rPr>
      </w:pPr>
    </w:p>
    <w:p>
      <w:pPr>
        <w:pStyle w:val="6"/>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2"/>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rPr>
          <w:rFonts w:hint="default"/>
          <w:lang w:val="en-US" w:eastAsia="zh-CN"/>
        </w:rPr>
      </w:pPr>
    </w:p>
    <w:p>
      <w:pPr>
        <w:pStyle w:val="6"/>
        <w:numPr>
          <w:ilvl w:val="0"/>
          <w:numId w:val="0"/>
        </w:numPr>
        <w:ind w:leftChars="0"/>
        <w:rPr>
          <w:rFonts w:hint="default"/>
          <w:lang w:val="en-US" w:eastAsia="zh-CN"/>
        </w:rPr>
      </w:pPr>
    </w:p>
    <w:p>
      <w:pPr>
        <w:spacing w:line="360" w:lineRule="auto"/>
        <w:jc w:val="center"/>
        <w:outlineLvl w:val="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 xml:space="preserve">第一部分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邀请函</w:t>
      </w:r>
    </w:p>
    <w:p>
      <w:pPr>
        <w:spacing w:line="360" w:lineRule="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各（潜在）</w:t>
      </w:r>
      <w:r>
        <w:rPr>
          <w:rFonts w:hint="eastAsia" w:ascii="方正仿宋_GBK" w:hAnsi="方正仿宋_GBK" w:eastAsia="方正仿宋_GBK" w:cs="方正仿宋_GBK"/>
          <w:kern w:val="0"/>
          <w:sz w:val="32"/>
          <w:szCs w:val="32"/>
        </w:rPr>
        <w:t>供应商:</w:t>
      </w:r>
    </w:p>
    <w:p>
      <w:pPr>
        <w:keepNext w:val="0"/>
        <w:keepLines w:val="0"/>
        <w:pageBreakBefore w:val="0"/>
        <w:widowControl w:val="0"/>
        <w:kinsoku/>
        <w:wordWrap/>
        <w:overflowPunct/>
        <w:topLinePunct w:val="0"/>
        <w:bidi w:val="0"/>
        <w:adjustRightInd/>
        <w:snapToGrid/>
        <w:spacing w:line="580" w:lineRule="exact"/>
        <w:jc w:val="lef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val="0"/>
          <w:bCs w:val="0"/>
          <w:color w:val="333333"/>
          <w:sz w:val="32"/>
          <w:szCs w:val="32"/>
        </w:rPr>
        <w:t>惠州市</w:t>
      </w:r>
      <w:r>
        <w:rPr>
          <w:rFonts w:hint="eastAsia" w:ascii="方正仿宋_GBK" w:hAnsi="方正仿宋_GBK" w:eastAsia="方正仿宋_GBK" w:cs="方正仿宋_GBK"/>
          <w:b w:val="0"/>
          <w:bCs w:val="0"/>
          <w:color w:val="333333"/>
          <w:sz w:val="32"/>
          <w:szCs w:val="32"/>
          <w:lang w:eastAsia="zh-CN"/>
        </w:rPr>
        <w:t>第六人民</w:t>
      </w:r>
      <w:r>
        <w:rPr>
          <w:rFonts w:hint="eastAsia" w:ascii="方正仿宋_GBK" w:hAnsi="方正仿宋_GBK" w:eastAsia="方正仿宋_GBK" w:cs="方正仿宋_GBK"/>
          <w:b w:val="0"/>
          <w:bCs w:val="0"/>
          <w:color w:val="333333"/>
          <w:sz w:val="32"/>
          <w:szCs w:val="32"/>
        </w:rPr>
        <w:t>医院</w:t>
      </w:r>
      <w:r>
        <w:rPr>
          <w:rFonts w:hint="eastAsia" w:ascii="方正仿宋_GBK" w:hAnsi="方正仿宋_GBK" w:eastAsia="方正仿宋_GBK" w:cs="方正仿宋_GBK"/>
          <w:b w:val="0"/>
          <w:bCs w:val="0"/>
          <w:color w:val="333333"/>
          <w:sz w:val="32"/>
          <w:szCs w:val="32"/>
          <w:lang w:eastAsia="zh-CN"/>
        </w:rPr>
        <w:t>因业务发展的需要，计划对</w:t>
      </w: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color w:val="333333"/>
          <w:sz w:val="32"/>
          <w:szCs w:val="32"/>
        </w:rPr>
        <w:t>进行院内招标采购，欢迎符合资格条件的供应商报名投标。</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b w:val="0"/>
          <w:bCs w:val="0"/>
          <w:color w:val="333333"/>
          <w:sz w:val="32"/>
          <w:szCs w:val="32"/>
          <w:lang w:val="en-US" w:eastAsia="zh-CN"/>
        </w:rPr>
        <w:t>H6-XXB-2021-005</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rPr>
        <w:t>采购服务名称：</w:t>
      </w: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kern w:val="2"/>
          <w:sz w:val="32"/>
          <w:szCs w:val="32"/>
          <w:lang w:val="en-US" w:eastAsia="zh-CN"/>
        </w:rPr>
        <w:t>+移动输液管理系统</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zh-CN"/>
        </w:rPr>
        <w:t>采购预算：</w:t>
      </w:r>
    </w:p>
    <w:tbl>
      <w:tblPr>
        <w:tblStyle w:val="12"/>
        <w:tblpPr w:leftFromText="180" w:rightFromText="180" w:vertAnchor="text" w:horzAnchor="page" w:tblpX="1912" w:tblpY="316"/>
        <w:tblOverlap w:val="never"/>
        <w:tblW w:w="4645" w:type="pct"/>
        <w:tblInd w:w="0" w:type="dxa"/>
        <w:tblLayout w:type="fixed"/>
        <w:tblCellMar>
          <w:top w:w="0" w:type="dxa"/>
          <w:left w:w="108" w:type="dxa"/>
          <w:bottom w:w="0" w:type="dxa"/>
          <w:right w:w="108" w:type="dxa"/>
        </w:tblCellMar>
      </w:tblPr>
      <w:tblGrid>
        <w:gridCol w:w="3240"/>
        <w:gridCol w:w="845"/>
        <w:gridCol w:w="906"/>
        <w:gridCol w:w="1714"/>
        <w:gridCol w:w="1628"/>
      </w:tblGrid>
      <w:tr>
        <w:tblPrEx>
          <w:tblCellMar>
            <w:top w:w="0" w:type="dxa"/>
            <w:left w:w="108" w:type="dxa"/>
            <w:bottom w:w="0" w:type="dxa"/>
            <w:right w:w="108" w:type="dxa"/>
          </w:tblCellMar>
        </w:tblPrEx>
        <w:trPr>
          <w:trHeight w:val="1049"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服务名称</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数量</w:t>
            </w:r>
          </w:p>
        </w:tc>
        <w:tc>
          <w:tcPr>
            <w:tcW w:w="543"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单位</w:t>
            </w:r>
          </w:p>
        </w:tc>
        <w:tc>
          <w:tcPr>
            <w:tcW w:w="1028"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预算单价（万元）</w:t>
            </w:r>
          </w:p>
        </w:tc>
        <w:tc>
          <w:tcPr>
            <w:tcW w:w="977"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总金额</w:t>
            </w:r>
          </w:p>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（万元）</w:t>
            </w:r>
          </w:p>
        </w:tc>
      </w:tr>
      <w:tr>
        <w:tblPrEx>
          <w:tblCellMar>
            <w:top w:w="0" w:type="dxa"/>
            <w:left w:w="108" w:type="dxa"/>
            <w:bottom w:w="0" w:type="dxa"/>
            <w:right w:w="108" w:type="dxa"/>
          </w:tblCellMar>
        </w:tblPrEx>
        <w:trPr>
          <w:trHeight w:val="670"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kern w:val="2"/>
                <w:sz w:val="32"/>
                <w:szCs w:val="32"/>
                <w:lang w:val="en-US" w:eastAsia="zh-CN"/>
              </w:rPr>
              <w:t>+移动输液管理系统</w:t>
            </w:r>
          </w:p>
        </w:tc>
        <w:tc>
          <w:tcPr>
            <w:tcW w:w="50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p>
        </w:tc>
        <w:tc>
          <w:tcPr>
            <w:tcW w:w="54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套</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67</w:t>
            </w:r>
          </w:p>
        </w:tc>
        <w:tc>
          <w:tcPr>
            <w:tcW w:w="9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67</w:t>
            </w:r>
          </w:p>
        </w:tc>
      </w:tr>
    </w:tbl>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拟参加谈判的供应商应当在2021年</w:t>
      </w:r>
      <w:r>
        <w:rPr>
          <w:rFonts w:hint="eastAsia" w:ascii="方正仿宋_GBK" w:hAnsi="方正仿宋_GBK" w:eastAsia="方正仿宋_GBK" w:cs="方正仿宋_GBK"/>
          <w:color w:val="auto"/>
          <w:sz w:val="32"/>
          <w:szCs w:val="32"/>
          <w:lang w:val="en-US" w:eastAsia="zh-CN"/>
        </w:rPr>
        <w:t xml:space="preserve"> 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24</w:t>
      </w:r>
      <w:r>
        <w:rPr>
          <w:rFonts w:hint="eastAsia" w:ascii="方正仿宋_GBK" w:hAnsi="方正仿宋_GBK" w:eastAsia="方正仿宋_GBK" w:cs="方正仿宋_GBK"/>
          <w:color w:val="auto"/>
          <w:sz w:val="32"/>
          <w:szCs w:val="32"/>
        </w:rPr>
        <w:t>日起至2021年</w:t>
      </w:r>
      <w:r>
        <w:rPr>
          <w:rFonts w:hint="eastAsia" w:ascii="方正仿宋_GBK" w:hAnsi="方正仿宋_GBK" w:eastAsia="方正仿宋_GBK" w:cs="方正仿宋_GBK"/>
          <w:color w:val="auto"/>
          <w:sz w:val="32"/>
          <w:szCs w:val="32"/>
          <w:lang w:val="en-US" w:eastAsia="zh-CN"/>
        </w:rPr>
        <w:t xml:space="preserve"> 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 xml:space="preserve"> 27</w:t>
      </w:r>
      <w:r>
        <w:rPr>
          <w:rFonts w:hint="eastAsia" w:ascii="方正仿宋_GBK" w:hAnsi="方正仿宋_GBK" w:eastAsia="方正仿宋_GBK" w:cs="方正仿宋_GBK"/>
          <w:color w:val="auto"/>
          <w:sz w:val="32"/>
          <w:szCs w:val="32"/>
        </w:rPr>
        <w:t>日（上午08:00-12:00，下午14:30-17:</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0，）到</w:t>
      </w:r>
      <w:r>
        <w:rPr>
          <w:rFonts w:hint="eastAsia" w:ascii="方正仿宋_GBK" w:hAnsi="方正仿宋_GBK" w:eastAsia="方正仿宋_GBK" w:cs="方正仿宋_GBK"/>
          <w:color w:val="auto"/>
          <w:sz w:val="32"/>
          <w:szCs w:val="32"/>
          <w:lang w:val="zh-CN"/>
        </w:rPr>
        <w:t>惠州市第六人民医院信息部报名，</w:t>
      </w:r>
      <w:r>
        <w:rPr>
          <w:rFonts w:hint="eastAsia" w:ascii="方正仿宋_GBK" w:hAnsi="方正仿宋_GBK" w:eastAsia="方正仿宋_GBK" w:cs="方正仿宋_GBK"/>
          <w:color w:val="auto"/>
          <w:sz w:val="32"/>
          <w:szCs w:val="32"/>
          <w:lang w:eastAsia="zh-CN"/>
        </w:rPr>
        <w:t>招标</w:t>
      </w:r>
      <w:r>
        <w:rPr>
          <w:rFonts w:hint="eastAsia" w:ascii="方正仿宋_GBK" w:hAnsi="方正仿宋_GBK" w:eastAsia="方正仿宋_GBK" w:cs="方正仿宋_GBK"/>
          <w:color w:val="auto"/>
          <w:sz w:val="32"/>
          <w:szCs w:val="32"/>
        </w:rPr>
        <w:t>文件请自行在挂网招标公告中下载附件。</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谈判响应文件递交截止时间：2021年</w:t>
      </w:r>
      <w:r>
        <w:rPr>
          <w:rFonts w:hint="eastAsia" w:ascii="方正仿宋_GBK" w:hAnsi="方正仿宋_GBK" w:eastAsia="方正仿宋_GBK" w:cs="方正仿宋_GBK"/>
          <w:color w:val="auto"/>
          <w:sz w:val="32"/>
          <w:szCs w:val="32"/>
          <w:lang w:val="en-US" w:eastAsia="zh-CN"/>
        </w:rPr>
        <w:t xml:space="preserve"> 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17</w:t>
      </w:r>
      <w:r>
        <w:rPr>
          <w:rFonts w:hint="eastAsia" w:ascii="方正仿宋_GBK" w:hAnsi="方正仿宋_GBK" w:eastAsia="方正仿宋_GBK" w:cs="方正仿宋_GBK"/>
          <w:color w:val="auto"/>
          <w:sz w:val="32"/>
          <w:szCs w:val="32"/>
        </w:rPr>
        <w:t>时（北京时间）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投标</w:t>
      </w:r>
      <w:r>
        <w:rPr>
          <w:rFonts w:hint="eastAsia" w:ascii="方正仿宋_GBK" w:hAnsi="方正仿宋_GBK" w:eastAsia="方正仿宋_GBK" w:cs="方正仿宋_GBK"/>
          <w:sz w:val="32"/>
          <w:szCs w:val="32"/>
        </w:rPr>
        <w:t>文件送达地点：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时间：</w:t>
      </w:r>
      <w:r>
        <w:rPr>
          <w:rFonts w:hint="eastAsia" w:ascii="方正仿宋_GBK" w:hAnsi="方正仿宋_GBK" w:eastAsia="方正仿宋_GBK" w:cs="方正仿宋_GBK"/>
          <w:sz w:val="32"/>
          <w:szCs w:val="32"/>
          <w:lang w:val="en-US" w:eastAsia="zh-CN"/>
        </w:rPr>
        <w:t>2021年9月30日</w:t>
      </w:r>
      <w:bookmarkStart w:id="1" w:name="_GoBack"/>
      <w:bookmarkEnd w:id="1"/>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招标</w:t>
      </w:r>
      <w:r>
        <w:rPr>
          <w:rFonts w:hint="eastAsia" w:ascii="方正仿宋_GBK" w:hAnsi="方正仿宋_GBK" w:eastAsia="方正仿宋_GBK" w:cs="方正仿宋_GBK"/>
          <w:b w:val="0"/>
          <w:bCs w:val="0"/>
          <w:sz w:val="32"/>
          <w:szCs w:val="32"/>
        </w:rPr>
        <w:t>人：惠州市</w:t>
      </w:r>
      <w:r>
        <w:rPr>
          <w:rFonts w:hint="eastAsia" w:ascii="方正仿宋_GBK" w:hAnsi="方正仿宋_GBK" w:eastAsia="方正仿宋_GBK" w:cs="方正仿宋_GBK"/>
          <w:b w:val="0"/>
          <w:bCs w:val="0"/>
          <w:sz w:val="32"/>
          <w:szCs w:val="32"/>
          <w:lang w:eastAsia="zh-CN"/>
        </w:rPr>
        <w:t>第六</w:t>
      </w:r>
      <w:r>
        <w:rPr>
          <w:rFonts w:hint="eastAsia" w:ascii="方正仿宋_GBK" w:hAnsi="方正仿宋_GBK" w:eastAsia="方正仿宋_GBK" w:cs="方正仿宋_GBK"/>
          <w:b w:val="0"/>
          <w:bCs w:val="0"/>
          <w:sz w:val="32"/>
          <w:szCs w:val="32"/>
        </w:rPr>
        <w:t>人民医院</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招标人联系人：莫谋森</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sz w:val="32"/>
          <w:szCs w:val="32"/>
        </w:rPr>
        <w:t>电话：</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val="0"/>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传真：</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lang w:val="zh-CN"/>
        </w:rPr>
      </w:pPr>
      <w:r>
        <w:rPr>
          <w:rFonts w:hint="eastAsia" w:ascii="方正仿宋_GBK" w:hAnsi="方正仿宋_GBK" w:eastAsia="方正仿宋_GBK" w:cs="方正仿宋_GBK"/>
          <w:b w:val="0"/>
          <w:bCs w:val="0"/>
          <w:sz w:val="32"/>
          <w:szCs w:val="32"/>
          <w:lang w:val="zh-CN"/>
        </w:rPr>
        <w:t>联系地址：惠州市惠阳区淡水街道爱民东路</w:t>
      </w:r>
      <w:r>
        <w:rPr>
          <w:rFonts w:hint="eastAsia" w:ascii="方正仿宋_GBK" w:hAnsi="方正仿宋_GBK" w:eastAsia="方正仿宋_GBK" w:cs="方正仿宋_GBK"/>
          <w:b w:val="0"/>
          <w:bCs w:val="0"/>
          <w:sz w:val="32"/>
          <w:szCs w:val="32"/>
          <w:lang w:val="en-US" w:eastAsia="zh-CN"/>
        </w:rPr>
        <w:t>2号</w:t>
      </w:r>
      <w:r>
        <w:rPr>
          <w:rFonts w:hint="eastAsia" w:ascii="方正仿宋_GBK" w:hAnsi="方正仿宋_GBK" w:eastAsia="方正仿宋_GBK" w:cs="方正仿宋_GBK"/>
          <w:b w:val="0"/>
          <w:bCs w:val="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zh-CN"/>
        </w:rPr>
        <w:t>邮编：</w:t>
      </w:r>
      <w:r>
        <w:rPr>
          <w:rFonts w:hint="eastAsia" w:ascii="方正仿宋_GBK" w:hAnsi="方正仿宋_GBK" w:eastAsia="方正仿宋_GBK" w:cs="方正仿宋_GBK"/>
          <w:b w:val="0"/>
          <w:bCs w:val="0"/>
          <w:sz w:val="32"/>
          <w:szCs w:val="32"/>
          <w:lang w:val="en-US" w:eastAsia="zh-CN"/>
        </w:rPr>
        <w:t>516200</w:t>
      </w:r>
      <w:r>
        <w:rPr>
          <w:rFonts w:hint="eastAsia" w:ascii="方正仿宋_GBK" w:hAnsi="方正仿宋_GBK" w:eastAsia="方正仿宋_GBK" w:cs="方正仿宋_GBK"/>
          <w:b w:val="0"/>
          <w:bCs w:val="0"/>
          <w:sz w:val="32"/>
          <w:szCs w:val="32"/>
          <w:lang w:val="zh-CN"/>
        </w:rPr>
        <w:t xml:space="preserve">  </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sz w:val="32"/>
          <w:szCs w:val="32"/>
        </w:rPr>
        <w:t xml:space="preserve">       </w:t>
      </w:r>
    </w:p>
    <w:p>
      <w:pPr>
        <w:spacing w:line="360" w:lineRule="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                                </w:t>
      </w:r>
    </w:p>
    <w:p>
      <w:pPr>
        <w:pStyle w:val="2"/>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4960" w:firstLineChars="155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惠州市</w:t>
      </w:r>
      <w:r>
        <w:rPr>
          <w:rFonts w:hint="eastAsia" w:ascii="方正仿宋_GBK" w:hAnsi="方正仿宋_GBK" w:eastAsia="方正仿宋_GBK" w:cs="方正仿宋_GBK"/>
          <w:sz w:val="32"/>
          <w:szCs w:val="32"/>
          <w:lang w:eastAsia="zh-CN"/>
        </w:rPr>
        <w:t>第六</w:t>
      </w:r>
      <w:r>
        <w:rPr>
          <w:rFonts w:hint="eastAsia" w:ascii="方正仿宋_GBK" w:hAnsi="方正仿宋_GBK" w:eastAsia="方正仿宋_GBK" w:cs="方正仿宋_GBK"/>
          <w:sz w:val="32"/>
          <w:szCs w:val="32"/>
        </w:rPr>
        <w:t>人民医院</w:t>
      </w:r>
    </w:p>
    <w:p>
      <w:pPr>
        <w:keepNext w:val="0"/>
        <w:keepLines w:val="0"/>
        <w:pageBreakBefore w:val="0"/>
        <w:widowControl w:val="0"/>
        <w:kinsoku/>
        <w:wordWrap/>
        <w:overflowPunct/>
        <w:topLinePunct w:val="0"/>
        <w:autoSpaceDE/>
        <w:autoSpaceDN/>
        <w:bidi w:val="0"/>
        <w:adjustRightInd/>
        <w:snapToGrid/>
        <w:spacing w:line="580" w:lineRule="exact"/>
        <w:ind w:firstLine="6080" w:firstLineChars="19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 xml:space="preserve">22 </w:t>
      </w:r>
      <w:r>
        <w:rPr>
          <w:rFonts w:hint="eastAsia" w:ascii="方正仿宋_GBK" w:hAnsi="方正仿宋_GBK" w:eastAsia="方正仿宋_GBK" w:cs="方正仿宋_GBK"/>
          <w:color w:val="auto"/>
          <w:sz w:val="32"/>
          <w:szCs w:val="32"/>
        </w:rPr>
        <w:t>日</w:t>
      </w:r>
    </w:p>
    <w:p>
      <w:pPr>
        <w:pStyle w:val="2"/>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2"/>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2"/>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rPr>
          <w:rFonts w:hint="eastAsia"/>
        </w:rPr>
      </w:pPr>
    </w:p>
    <w:p>
      <w:pPr>
        <w:rPr>
          <w:rFonts w:hint="eastAsia" w:eastAsia="方正仿宋_GBK"/>
          <w:lang w:eastAsia="zh-CN"/>
        </w:rPr>
      </w:pPr>
    </w:p>
    <w:p>
      <w:pPr>
        <w:rPr>
          <w:rFonts w:hint="eastAsia" w:ascii="仿宋" w:hAnsi="仿宋" w:eastAsia="仿宋" w:cs="仿宋"/>
          <w:sz w:val="24"/>
        </w:rPr>
      </w:pPr>
    </w:p>
    <w:p>
      <w:pPr>
        <w:numPr>
          <w:ilvl w:val="0"/>
          <w:numId w:val="4"/>
        </w:numPr>
        <w:jc w:val="center"/>
        <w:outlineLvl w:val="0"/>
        <w:rPr>
          <w:rFonts w:hint="eastAsia" w:ascii="方正粗黑宋简体" w:hAnsi="方正粗黑宋简体" w:eastAsia="方正粗黑宋简体" w:cs="方正粗黑宋简体"/>
          <w:b w:val="0"/>
          <w:bCs/>
          <w:sz w:val="32"/>
          <w:szCs w:val="32"/>
        </w:rPr>
      </w:pPr>
      <w:r>
        <w:rPr>
          <w:rFonts w:hint="eastAsia" w:ascii="方正粗黑宋简体" w:hAnsi="方正粗黑宋简体" w:eastAsia="方正粗黑宋简体" w:cs="方正粗黑宋简体"/>
          <w:b w:val="0"/>
          <w:bCs/>
          <w:sz w:val="32"/>
          <w:szCs w:val="32"/>
        </w:rPr>
        <w:t>采购项目内容</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jc w:val="both"/>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1、在中华人民共和国境内注册的具有独立承担民事责任能力的法人或其他组织；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2、不接受联合投标体投标以及对本项目进行分包和转包；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3、单位负责人为同一人或者存在控股、管理关系的不同单位，不得参加同一招标项目包投标（投标人出具声明函）；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4、在“信用中国”网站（www.credichina.gov.cn）、中国政府采购网（www.ccgp.gov.cn）没有被列入失信被执行人、重大税收违法案件当事人名单、政府采购严重违法失信行为记录名单及其它不符合规定条件的供应商；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5、已报名并获取本次采购文件。</w:t>
      </w:r>
    </w:p>
    <w:p>
      <w:pPr>
        <w:pStyle w:val="2"/>
        <w:rPr>
          <w:rFonts w:hint="eastAsia"/>
          <w:sz w:val="18"/>
          <w:szCs w:val="18"/>
          <w:lang w:val="en-US" w:eastAsia="zh-CN"/>
        </w:rPr>
      </w:pP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用户需求书：</w:t>
      </w:r>
    </w:p>
    <w:p>
      <w:pPr>
        <w:pStyle w:val="4"/>
        <w:numPr>
          <w:ilvl w:val="2"/>
          <w:numId w:val="0"/>
        </w:numPr>
        <w:spacing w:before="156" w:after="156"/>
        <w:outlineLvl w:val="2"/>
        <w:rPr>
          <w:rFonts w:hint="eastAsia" w:ascii="方正仿宋_GBK" w:hAnsi="方正仿宋_GBK" w:eastAsia="方正仿宋_GBK" w:cs="方正仿宋_GBK"/>
          <w:b/>
          <w:bCs w:val="0"/>
          <w:sz w:val="32"/>
          <w:szCs w:val="32"/>
        </w:rPr>
      </w:pPr>
      <w:bookmarkStart w:id="0" w:name="_Toc214706651"/>
      <w:r>
        <w:rPr>
          <w:rFonts w:hint="eastAsia" w:ascii="方正仿宋_GBK" w:hAnsi="方正仿宋_GBK" w:eastAsia="方正仿宋_GBK" w:cs="方正仿宋_GBK"/>
          <w:b/>
          <w:bCs w:val="0"/>
          <w:sz w:val="32"/>
          <w:szCs w:val="32"/>
        </w:rPr>
        <w:t>项目简述</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28"/>
        </w:rPr>
      </w:pPr>
      <w:r>
        <w:rPr>
          <w:rFonts w:hint="eastAsia" w:ascii="方正仿宋_GBK" w:hAnsi="方正仿宋_GBK" w:eastAsia="方正仿宋_GBK" w:cs="方正仿宋_GBK"/>
          <w:snapToGrid w:val="0"/>
          <w:sz w:val="28"/>
          <w:szCs w:val="28"/>
        </w:rPr>
        <w:t>目前，我院已经建立了覆盖医院信息管理、临床诊疗、医院管理及改善患者就医体验的一系列医疗信息化系统，现</w:t>
      </w:r>
      <w:r>
        <w:rPr>
          <w:rFonts w:hint="eastAsia" w:ascii="方正仿宋_GBK" w:hAnsi="方正仿宋_GBK" w:eastAsia="方正仿宋_GBK" w:cs="方正仿宋_GBK"/>
          <w:snapToGrid w:val="0"/>
          <w:sz w:val="28"/>
          <w:szCs w:val="28"/>
          <w:lang w:eastAsia="zh-CN"/>
        </w:rPr>
        <w:t>为</w:t>
      </w:r>
      <w:r>
        <w:rPr>
          <w:rFonts w:hint="eastAsia" w:ascii="方正仿宋_GBK" w:hAnsi="方正仿宋_GBK" w:eastAsia="方正仿宋_GBK" w:cs="方正仿宋_GBK"/>
          <w:snapToGrid w:val="0"/>
          <w:sz w:val="28"/>
          <w:szCs w:val="28"/>
        </w:rPr>
        <w:t>规范医院病区、输液室、治疗室等科室的的医疗和护理流程，为病人提供快捷、安全、高效的医疗救治环境。因此，提出</w:t>
      </w:r>
      <w:r>
        <w:rPr>
          <w:rFonts w:hint="eastAsia" w:ascii="方正仿宋_GBK" w:hAnsi="方正仿宋_GBK" w:eastAsia="方正仿宋_GBK" w:cs="方正仿宋_GBK"/>
          <w:snapToGrid w:val="0"/>
          <w:sz w:val="28"/>
          <w:szCs w:val="28"/>
          <w:lang w:eastAsia="zh-CN"/>
        </w:rPr>
        <w:t>护理管理及移动输液管理</w:t>
      </w:r>
      <w:r>
        <w:rPr>
          <w:rFonts w:hint="eastAsia" w:ascii="方正仿宋_GBK" w:hAnsi="方正仿宋_GBK" w:eastAsia="方正仿宋_GBK" w:cs="方正仿宋_GBK"/>
          <w:snapToGrid w:val="0"/>
          <w:sz w:val="28"/>
          <w:szCs w:val="28"/>
        </w:rPr>
        <w:t>建设项目。</w:t>
      </w:r>
    </w:p>
    <w:bookmarkEnd w:id="0"/>
    <w:p>
      <w:pPr>
        <w:pStyle w:val="5"/>
        <w:numPr>
          <w:ilvl w:val="3"/>
          <w:numId w:val="0"/>
        </w:numPr>
        <w:spacing w:before="156" w:after="156"/>
        <w:outlineLvl w:val="2"/>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招标内容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b w:val="0"/>
          <w:bCs/>
          <w:sz w:val="21"/>
          <w:szCs w:val="21"/>
        </w:rPr>
      </w:pPr>
      <w:r>
        <w:rPr>
          <w:rFonts w:hint="eastAsia" w:ascii="方正仿宋_GBK" w:hAnsi="方正仿宋_GBK" w:eastAsia="方正仿宋_GBK" w:cs="方正仿宋_GBK"/>
          <w:sz w:val="28"/>
          <w:szCs w:val="28"/>
        </w:rPr>
        <w:t>本次招标内容为</w:t>
      </w:r>
      <w:r>
        <w:rPr>
          <w:rFonts w:hint="eastAsia" w:ascii="方正仿宋_GBK" w:hAnsi="方正仿宋_GBK" w:eastAsia="方正仿宋_GBK" w:cs="方正仿宋_GBK"/>
          <w:snapToGrid w:val="0"/>
          <w:sz w:val="28"/>
          <w:szCs w:val="28"/>
        </w:rPr>
        <w:t>护理管理系统及移动输液管理系统建设</w:t>
      </w:r>
      <w:r>
        <w:rPr>
          <w:rFonts w:hint="eastAsia" w:ascii="方正仿宋_GBK" w:hAnsi="方正仿宋_GBK" w:eastAsia="方正仿宋_GBK" w:cs="方正仿宋_GBK"/>
          <w:sz w:val="28"/>
          <w:szCs w:val="28"/>
        </w:rPr>
        <w:t>，包括系统软、硬件的供货、安装调试、集成、开发、技术支持、运行维护、项目验收、技术培训及售后服务等。</w:t>
      </w:r>
    </w:p>
    <w:tbl>
      <w:tblPr>
        <w:tblStyle w:val="12"/>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997"/>
        <w:gridCol w:w="1842"/>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4"/>
              <w:rPr>
                <w:kern w:val="2"/>
                <w:sz w:val="24"/>
                <w:szCs w:val="21"/>
              </w:rPr>
            </w:pPr>
            <w:r>
              <w:rPr>
                <w:rFonts w:hint="eastAsia"/>
                <w:kern w:val="2"/>
                <w:sz w:val="24"/>
                <w:szCs w:val="21"/>
              </w:rPr>
              <w:t>序号</w:t>
            </w:r>
          </w:p>
        </w:tc>
        <w:tc>
          <w:tcPr>
            <w:tcW w:w="2997" w:type="dxa"/>
            <w:noWrap w:val="0"/>
            <w:vAlign w:val="center"/>
          </w:tcPr>
          <w:p>
            <w:pPr>
              <w:pStyle w:val="14"/>
              <w:rPr>
                <w:kern w:val="2"/>
                <w:sz w:val="24"/>
                <w:szCs w:val="21"/>
              </w:rPr>
            </w:pPr>
            <w:r>
              <w:rPr>
                <w:rFonts w:hint="eastAsia"/>
                <w:kern w:val="2"/>
                <w:sz w:val="24"/>
                <w:szCs w:val="21"/>
              </w:rPr>
              <w:t>货物名称</w:t>
            </w:r>
          </w:p>
        </w:tc>
        <w:tc>
          <w:tcPr>
            <w:tcW w:w="1842" w:type="dxa"/>
            <w:noWrap w:val="0"/>
            <w:vAlign w:val="center"/>
          </w:tcPr>
          <w:p>
            <w:pPr>
              <w:pStyle w:val="14"/>
              <w:rPr>
                <w:kern w:val="2"/>
                <w:sz w:val="24"/>
                <w:szCs w:val="21"/>
              </w:rPr>
            </w:pPr>
            <w:r>
              <w:rPr>
                <w:rFonts w:hint="eastAsia"/>
                <w:kern w:val="2"/>
                <w:sz w:val="24"/>
                <w:szCs w:val="21"/>
              </w:rPr>
              <w:t>数量</w:t>
            </w:r>
          </w:p>
        </w:tc>
        <w:tc>
          <w:tcPr>
            <w:tcW w:w="3517" w:type="dxa"/>
            <w:noWrap w:val="0"/>
            <w:vAlign w:val="center"/>
          </w:tcPr>
          <w:p>
            <w:pPr>
              <w:pStyle w:val="14"/>
              <w:rPr>
                <w:kern w:val="2"/>
                <w:sz w:val="24"/>
                <w:szCs w:val="21"/>
              </w:rPr>
            </w:pPr>
            <w:r>
              <w:rPr>
                <w:rFonts w:hint="eastAsia"/>
                <w:kern w:val="2"/>
                <w:sz w:val="24"/>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2" w:type="dxa"/>
            <w:gridSpan w:val="3"/>
            <w:noWrap w:val="0"/>
            <w:vAlign w:val="center"/>
          </w:tcPr>
          <w:p>
            <w:pPr>
              <w:pStyle w:val="14"/>
              <w:jc w:val="both"/>
            </w:pPr>
            <w:r>
              <w:rPr>
                <w:rFonts w:hint="eastAsia"/>
                <w:snapToGrid w:val="0"/>
              </w:rPr>
              <w:t>移动医疗应用</w:t>
            </w:r>
          </w:p>
        </w:tc>
        <w:tc>
          <w:tcPr>
            <w:tcW w:w="3517" w:type="dxa"/>
            <w:vMerge w:val="restart"/>
            <w:noWrap w:val="0"/>
            <w:vAlign w:val="center"/>
          </w:tcPr>
          <w:p>
            <w:pPr>
              <w:pStyle w:val="14"/>
              <w:rPr>
                <w:rFonts w:hint="eastAsia"/>
                <w:kern w:val="2"/>
                <w:sz w:val="24"/>
                <w:szCs w:val="21"/>
              </w:rPr>
            </w:pPr>
            <w:r>
              <w:rPr>
                <w:rFonts w:hint="eastAsia"/>
                <w:kern w:val="2"/>
                <w:sz w:val="24"/>
                <w:szCs w:val="21"/>
              </w:rPr>
              <w:t>合同签订之日起</w:t>
            </w:r>
            <w:r>
              <w:rPr>
                <w:color w:val="FF0000"/>
                <w:kern w:val="2"/>
                <w:sz w:val="24"/>
                <w:szCs w:val="21"/>
              </w:rPr>
              <w:t>6</w:t>
            </w:r>
            <w:r>
              <w:rPr>
                <w:rFonts w:hint="eastAsia"/>
                <w:color w:val="FF0000"/>
                <w:kern w:val="2"/>
                <w:sz w:val="24"/>
                <w:szCs w:val="21"/>
              </w:rPr>
              <w:t>个月</w:t>
            </w:r>
            <w:r>
              <w:rPr>
                <w:rFonts w:hint="eastAsia"/>
                <w:kern w:val="2"/>
                <w:sz w:val="24"/>
                <w:szCs w:val="21"/>
              </w:rPr>
              <w:t>内到货、安装、调试完毕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4"/>
              <w:rPr>
                <w:kern w:val="2"/>
                <w:sz w:val="24"/>
                <w:szCs w:val="21"/>
              </w:rPr>
            </w:pPr>
            <w:r>
              <w:rPr>
                <w:kern w:val="2"/>
                <w:sz w:val="24"/>
                <w:szCs w:val="21"/>
              </w:rPr>
              <w:t>1</w:t>
            </w:r>
          </w:p>
        </w:tc>
        <w:tc>
          <w:tcPr>
            <w:tcW w:w="2997" w:type="dxa"/>
            <w:noWrap w:val="0"/>
            <w:vAlign w:val="center"/>
          </w:tcPr>
          <w:p>
            <w:pPr>
              <w:pStyle w:val="14"/>
              <w:rPr>
                <w:kern w:val="2"/>
                <w:sz w:val="24"/>
                <w:szCs w:val="21"/>
              </w:rPr>
            </w:pPr>
            <w:r>
              <w:rPr>
                <w:rFonts w:hint="eastAsia"/>
                <w:kern w:val="2"/>
                <w:sz w:val="24"/>
                <w:szCs w:val="21"/>
              </w:rPr>
              <w:t>护理管理系统</w:t>
            </w:r>
          </w:p>
        </w:tc>
        <w:tc>
          <w:tcPr>
            <w:tcW w:w="1842" w:type="dxa"/>
            <w:noWrap w:val="0"/>
            <w:vAlign w:val="top"/>
          </w:tcPr>
          <w:p>
            <w:pPr>
              <w:pStyle w:val="14"/>
              <w:rPr>
                <w:kern w:val="2"/>
                <w:sz w:val="24"/>
                <w:szCs w:val="21"/>
              </w:rPr>
            </w:pPr>
            <w:r>
              <w:rPr>
                <w:kern w:val="2"/>
                <w:sz w:val="24"/>
                <w:szCs w:val="21"/>
              </w:rPr>
              <w:t>1</w:t>
            </w:r>
            <w:r>
              <w:rPr>
                <w:rFonts w:hint="eastAsia"/>
                <w:kern w:val="2"/>
                <w:sz w:val="24"/>
                <w:szCs w:val="21"/>
              </w:rPr>
              <w:t>套</w:t>
            </w:r>
          </w:p>
        </w:tc>
        <w:tc>
          <w:tcPr>
            <w:tcW w:w="3517" w:type="dxa"/>
            <w:vMerge w:val="continue"/>
            <w:noWrap w:val="0"/>
            <w:vAlign w:val="center"/>
          </w:tcPr>
          <w:p>
            <w:pPr>
              <w:pStyle w:val="14"/>
              <w:rPr>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4"/>
              <w:rPr>
                <w:kern w:val="2"/>
                <w:sz w:val="24"/>
                <w:szCs w:val="21"/>
              </w:rPr>
            </w:pPr>
            <w:r>
              <w:rPr>
                <w:kern w:val="2"/>
                <w:sz w:val="24"/>
                <w:szCs w:val="21"/>
              </w:rPr>
              <w:t>2</w:t>
            </w:r>
          </w:p>
        </w:tc>
        <w:tc>
          <w:tcPr>
            <w:tcW w:w="2997" w:type="dxa"/>
            <w:noWrap w:val="0"/>
            <w:vAlign w:val="center"/>
          </w:tcPr>
          <w:p>
            <w:pPr>
              <w:pStyle w:val="14"/>
              <w:rPr>
                <w:kern w:val="2"/>
                <w:sz w:val="24"/>
                <w:szCs w:val="21"/>
              </w:rPr>
            </w:pPr>
            <w:r>
              <w:rPr>
                <w:rFonts w:hint="eastAsia"/>
                <w:kern w:val="2"/>
                <w:sz w:val="24"/>
                <w:szCs w:val="21"/>
              </w:rPr>
              <w:t>移动输液管理系统</w:t>
            </w:r>
          </w:p>
        </w:tc>
        <w:tc>
          <w:tcPr>
            <w:tcW w:w="1842" w:type="dxa"/>
            <w:noWrap w:val="0"/>
            <w:vAlign w:val="top"/>
          </w:tcPr>
          <w:p>
            <w:pPr>
              <w:pStyle w:val="14"/>
              <w:rPr>
                <w:kern w:val="2"/>
                <w:sz w:val="24"/>
                <w:szCs w:val="21"/>
              </w:rPr>
            </w:pPr>
            <w:r>
              <w:rPr>
                <w:kern w:val="2"/>
                <w:sz w:val="24"/>
                <w:szCs w:val="21"/>
              </w:rPr>
              <w:t>1</w:t>
            </w:r>
            <w:r>
              <w:rPr>
                <w:rFonts w:hint="eastAsia"/>
                <w:kern w:val="2"/>
                <w:sz w:val="24"/>
                <w:szCs w:val="21"/>
              </w:rPr>
              <w:t>套</w:t>
            </w:r>
          </w:p>
        </w:tc>
        <w:tc>
          <w:tcPr>
            <w:tcW w:w="3517" w:type="dxa"/>
            <w:vMerge w:val="continue"/>
            <w:noWrap w:val="0"/>
            <w:vAlign w:val="center"/>
          </w:tcPr>
          <w:p>
            <w:pPr>
              <w:pStyle w:val="14"/>
              <w:rPr>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5822" w:type="dxa"/>
            <w:gridSpan w:val="3"/>
            <w:noWrap w:val="0"/>
            <w:vAlign w:val="top"/>
          </w:tcPr>
          <w:p>
            <w:pPr>
              <w:pStyle w:val="14"/>
              <w:jc w:val="both"/>
              <w:rPr>
                <w:rFonts w:hint="eastAsia"/>
              </w:rPr>
            </w:pPr>
            <w:r>
              <w:rPr>
                <w:rFonts w:hint="eastAsia"/>
                <w:snapToGrid w:val="0"/>
              </w:rPr>
              <w:t>配套设备</w:t>
            </w:r>
          </w:p>
        </w:tc>
        <w:tc>
          <w:tcPr>
            <w:tcW w:w="3517" w:type="dxa"/>
            <w:vMerge w:val="continue"/>
            <w:noWrap w:val="0"/>
            <w:vAlign w:val="center"/>
          </w:tcPr>
          <w:p>
            <w:pPr>
              <w:pStyle w:val="14"/>
              <w:rPr>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4"/>
              <w:rPr>
                <w:kern w:val="2"/>
                <w:sz w:val="24"/>
                <w:szCs w:val="21"/>
              </w:rPr>
            </w:pPr>
            <w:r>
              <w:rPr>
                <w:kern w:val="2"/>
                <w:sz w:val="24"/>
                <w:szCs w:val="21"/>
              </w:rPr>
              <w:t>1</w:t>
            </w:r>
          </w:p>
        </w:tc>
        <w:tc>
          <w:tcPr>
            <w:tcW w:w="2997" w:type="dxa"/>
            <w:noWrap w:val="0"/>
            <w:vAlign w:val="center"/>
          </w:tcPr>
          <w:p>
            <w:pPr>
              <w:pStyle w:val="14"/>
            </w:pPr>
            <w:r>
              <w:rPr>
                <w:rFonts w:hint="eastAsia"/>
              </w:rPr>
              <w:t>显控棒</w:t>
            </w:r>
          </w:p>
        </w:tc>
        <w:tc>
          <w:tcPr>
            <w:tcW w:w="1842" w:type="dxa"/>
            <w:noWrap w:val="0"/>
            <w:vAlign w:val="center"/>
          </w:tcPr>
          <w:p>
            <w:pPr>
              <w:pStyle w:val="14"/>
            </w:pPr>
            <w:r>
              <w:t>1</w:t>
            </w:r>
            <w:r>
              <w:rPr>
                <w:rFonts w:hint="eastAsia"/>
              </w:rPr>
              <w:t>个</w:t>
            </w:r>
          </w:p>
        </w:tc>
        <w:tc>
          <w:tcPr>
            <w:tcW w:w="3517" w:type="dxa"/>
            <w:vMerge w:val="continue"/>
            <w:noWrap w:val="0"/>
            <w:vAlign w:val="center"/>
          </w:tcPr>
          <w:p>
            <w:pPr>
              <w:pStyle w:val="14"/>
              <w:rPr>
                <w:kern w:val="2"/>
                <w:sz w:val="24"/>
                <w:szCs w:val="21"/>
              </w:rPr>
            </w:pPr>
          </w:p>
        </w:tc>
      </w:tr>
    </w:tbl>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技术规格和配置要求</w:t>
      </w:r>
    </w:p>
    <w:p>
      <w:pPr>
        <w:pStyle w:val="4"/>
        <w:numPr>
          <w:ilvl w:val="2"/>
          <w:numId w:val="0"/>
        </w:numPr>
        <w:spacing w:before="156" w:after="156"/>
        <w:outlineLvl w:val="2"/>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1.</w:t>
      </w:r>
      <w:r>
        <w:rPr>
          <w:rFonts w:hint="eastAsia" w:ascii="方正黑体_GBK" w:hAnsi="方正黑体_GBK" w:eastAsia="方正黑体_GBK" w:cs="方正黑体_GBK"/>
          <w:b w:val="0"/>
          <w:bCs/>
          <w:sz w:val="32"/>
          <w:szCs w:val="32"/>
        </w:rPr>
        <w:t>采购内容技术参数要求</w:t>
      </w:r>
    </w:p>
    <w:p>
      <w:pPr>
        <w:pStyle w:val="5"/>
        <w:numPr>
          <w:ilvl w:val="3"/>
          <w:numId w:val="0"/>
        </w:numPr>
        <w:spacing w:before="156" w:after="156"/>
        <w:ind w:left="549" w:leftChars="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一</w:t>
      </w: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rPr>
        <w:t>护理管理系统技术参数要求</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系统总体要求：</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一、需要有BS架构的报表制作工具：</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1、通过报表工具，能可视化制作表格或者图表形式的报表，需支持“柱状图”、“折线图”、“条形图”、“饼图”，“鱼骨图”、“柏拉图”等常见的图表</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2、通过报表工具制作的单体报表，能跨越多个数据源</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3、通过报表工具制作的单张报表，能进行数据穿透，比如选择“入院人数”时，能查看具体的入院人的详细详细</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4、接口工具制作的报表能和具体的业务应用进行无缝的权限、菜单等集成；也能支持单独部署报表系统</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二、需要有BS架构的第三方接口验证工具，能脱离应用验证接口数据：</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1、通过接口工具，能校验“数据库视图或者表”、“ESB接口”、“HL7接口”等多种形式的接口</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2、通过接口工具，能校验接口的结构正确性，包括字段的类型、长度、是否为空，唯一值等</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2、通过接口工具，能校验接口数据的正确性，比如校验“处方必然有相关联的医嘱”</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3、通过接口工具，能生成接口文档，可以在工具上直接查看、下载接口文档</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4、通过接口工具，能生成接口校验的报告，包括每个接口的校验内容、接口测试失败时的详细信息</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三、技术架构：</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1、应用前端需采用react库，后端采用Java开发平台；采用Json格式进行数据通信</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2、应用需能部署在windows、linux等平台上</w:t>
      </w:r>
    </w:p>
    <w:tbl>
      <w:tblPr>
        <w:tblStyle w:val="12"/>
        <w:tblW w:w="4998" w:type="pct"/>
        <w:tblInd w:w="0" w:type="dxa"/>
        <w:tblLayout w:type="autofit"/>
        <w:tblCellMar>
          <w:top w:w="0" w:type="dxa"/>
          <w:left w:w="0" w:type="dxa"/>
          <w:bottom w:w="0" w:type="dxa"/>
          <w:right w:w="0" w:type="dxa"/>
        </w:tblCellMar>
      </w:tblPr>
      <w:tblGrid>
        <w:gridCol w:w="1115"/>
        <w:gridCol w:w="1800"/>
        <w:gridCol w:w="1521"/>
        <w:gridCol w:w="4344"/>
      </w:tblGrid>
      <w:tr>
        <w:tblPrEx>
          <w:tblCellMar>
            <w:top w:w="0" w:type="dxa"/>
            <w:left w:w="0" w:type="dxa"/>
            <w:bottom w:w="0" w:type="dxa"/>
            <w:right w:w="0" w:type="dxa"/>
          </w:tblCellMar>
        </w:tblPrEx>
        <w:trPr>
          <w:trHeight w:val="90" w:hRule="atLeast"/>
        </w:trPr>
        <w:tc>
          <w:tcPr>
            <w:tcW w:w="63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主模块</w:t>
            </w:r>
          </w:p>
        </w:tc>
        <w:tc>
          <w:tcPr>
            <w:tcW w:w="1891" w:type="pct"/>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子模块要求</w:t>
            </w:r>
          </w:p>
        </w:tc>
        <w:tc>
          <w:tcPr>
            <w:tcW w:w="2473"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技术要求说明</w:t>
            </w:r>
          </w:p>
        </w:tc>
      </w:tr>
      <w:tr>
        <w:tblPrEx>
          <w:tblCellMar>
            <w:top w:w="0" w:type="dxa"/>
            <w:left w:w="0" w:type="dxa"/>
            <w:bottom w:w="0" w:type="dxa"/>
            <w:right w:w="0" w:type="dxa"/>
          </w:tblCellMar>
        </w:tblPrEx>
        <w:trPr>
          <w:trHeight w:val="6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护理制度建设</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制度体系建设</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根据医院的护理规范，建立制度体系结构，如护理法规体系、专科制度体系</w:t>
            </w:r>
          </w:p>
        </w:tc>
      </w:tr>
      <w:tr>
        <w:tblPrEx>
          <w:tblCellMar>
            <w:top w:w="0" w:type="dxa"/>
            <w:left w:w="0" w:type="dxa"/>
            <w:bottom w:w="0" w:type="dxa"/>
            <w:right w:w="0" w:type="dxa"/>
          </w:tblCellMar>
        </w:tblPrEx>
        <w:trPr>
          <w:trHeight w:val="31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文档组织管理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在制度体系中增加各相应的制度文档，并可进行版本控制</w:t>
            </w:r>
          </w:p>
        </w:tc>
      </w:tr>
      <w:tr>
        <w:tblPrEx>
          <w:tblCellMar>
            <w:top w:w="0" w:type="dxa"/>
            <w:left w:w="0" w:type="dxa"/>
            <w:bottom w:w="0" w:type="dxa"/>
            <w:right w:w="0" w:type="dxa"/>
          </w:tblCellMar>
        </w:tblPrEx>
        <w:trPr>
          <w:trHeight w:val="31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文档变更记录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可以清晰的查看文档的变更历史</w:t>
            </w:r>
          </w:p>
        </w:tc>
      </w:tr>
      <w:tr>
        <w:tblPrEx>
          <w:tblCellMar>
            <w:top w:w="0" w:type="dxa"/>
            <w:left w:w="0" w:type="dxa"/>
            <w:bottom w:w="0" w:type="dxa"/>
            <w:right w:w="0" w:type="dxa"/>
          </w:tblCellMar>
        </w:tblPrEx>
        <w:trPr>
          <w:trHeight w:val="6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文档权限控制</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用于控制文档的查看、下载、修改权限，可以给指定的人或者组织分配相应的权限</w:t>
            </w:r>
          </w:p>
        </w:tc>
      </w:tr>
      <w:tr>
        <w:tblPrEx>
          <w:tblCellMar>
            <w:top w:w="0" w:type="dxa"/>
            <w:left w:w="0" w:type="dxa"/>
            <w:bottom w:w="0" w:type="dxa"/>
            <w:right w:w="0" w:type="dxa"/>
          </w:tblCellMar>
        </w:tblPrEx>
        <w:trPr>
          <w:trHeight w:val="31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文档阅读管理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文档在线浏览</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用户可以直接在线浏览word、ppt、pdf文档</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文档阅读记录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可以统计文档的阅读覆盖率及及时率</w:t>
            </w:r>
          </w:p>
        </w:tc>
      </w:tr>
      <w:tr>
        <w:tblPrEx>
          <w:tblCellMar>
            <w:top w:w="0" w:type="dxa"/>
            <w:left w:w="0" w:type="dxa"/>
            <w:bottom w:w="0" w:type="dxa"/>
            <w:right w:w="0" w:type="dxa"/>
          </w:tblCellMar>
        </w:tblPrEx>
        <w:trPr>
          <w:trHeight w:val="87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护理人员管理</w:t>
            </w: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档案管理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护理人员基本档案---列表展示及高级查询</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1.可按职工性质分类查询；2.提供工号、姓名、简码的快速查询；3.提供人员高级查询；4.可按科室显示人员；5.可自定义显示列</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护理人员基本档案-增加、修改及注销</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1.护理人员建档、基本信息修改及人员注销；2.自定义字段是否显示；3.自定义字段是否可修改；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护理人员基本档案---汇总档案列表导入、导出</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1.可自定义excel导入模版（新增或更新）；2.excel数据导入（新增或更新）；3.excel数据导出（可自定义导出列）</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护士简历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支持个人全档案简历查看，导出和打印</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护士照片管理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支持照片的个人导入，批量导入</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护士证件管理/督察</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支持护士的证件管理，含有效期，原证件照片上传，以及有效期督察功能。</w:t>
            </w:r>
          </w:p>
        </w:tc>
      </w:tr>
      <w:tr>
        <w:tblPrEx>
          <w:tblCellMar>
            <w:top w:w="0" w:type="dxa"/>
            <w:left w:w="0" w:type="dxa"/>
            <w:bottom w:w="0" w:type="dxa"/>
            <w:right w:w="0" w:type="dxa"/>
          </w:tblCellMar>
        </w:tblPrEx>
        <w:trPr>
          <w:trHeight w:val="8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人员变动管理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人事调动</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1.指定到人员、调出科室、调出日期，执行调动；2.撤消调动记录，清除相关数据痕迹 3. 调动记录可自动生成个人档案记录 4. 调动记录汇总查询</w:t>
            </w:r>
          </w:p>
        </w:tc>
      </w:tr>
      <w:tr>
        <w:tblPrEx>
          <w:tblCellMar>
            <w:top w:w="0" w:type="dxa"/>
            <w:left w:w="0" w:type="dxa"/>
            <w:bottom w:w="0" w:type="dxa"/>
            <w:right w:w="0" w:type="dxa"/>
          </w:tblCellMar>
        </w:tblPrEx>
        <w:trPr>
          <w:trHeight w:val="6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人员借调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1.指定到人员、临时借调科室、借调日期，执行借调；2.临时调动记录汇总查询</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人员外派</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记录人员外派的情况，如参加抗险救灾任务</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外出进修结果登记</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护士外出进修结果登记</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人员统计分析</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鞋衣帽统计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分析全院及各科护士鞋衣帽情况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护士男女分布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分析全院及各科男女护士比例情况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护士职称分布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分析全院及各科护士职称分布情况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护士职工性质分布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分析全院及各科护士职工性质分布情况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护士职务分布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分析全院及各科护士职务情况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护士层级分布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分析全院及各科护士层级分布情况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护士学历分布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分析全院及各科护士学历分布情况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护士专业类别分布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分析全院及各科护士专业类别分布情况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护士工作年限分析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分析全院及各科护士工作年限情况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护士年龄分布</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分析全院及各科护士各年龄段分布情况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护士注销率分析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分析全院及各科护士注销情况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护士注销率原因分析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分析全院及各科护士注销原因分布情况</w:t>
            </w:r>
          </w:p>
        </w:tc>
      </w:tr>
      <w:tr>
        <w:tblPrEx>
          <w:tblCellMar>
            <w:top w:w="0" w:type="dxa"/>
            <w:left w:w="0" w:type="dxa"/>
            <w:bottom w:w="0" w:type="dxa"/>
            <w:right w:w="0" w:type="dxa"/>
          </w:tblCellMar>
        </w:tblPrEx>
        <w:trPr>
          <w:trHeight w:val="585"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★实习生管理</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实习生档案</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维护实习生的基本档案，方便管理实习生；可按性别、学历等查询</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实习生批次定义</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维护实习生批次，分批次管理来院实习生</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实习生轮转</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为实习生安排轮转科室，并可查看各实习生的轮转及科室的轮转情况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实习带教安排</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轮转科室为实习生安排带教老师</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实习成绩</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轮转科室维护实习生的理论、技能考核成绩</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科室对实习生评价</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轮转科室对实习生的整体情况做出评价</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实习生简历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显示实习生在院的情况，包括基本信息、轮转信息、成绩、请假、评价等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实习生成绩统计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可查看实习生的成绩统计信息</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实习生评价带教老师</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实习生对带教老师进行评价，以便相对客观的反映老师的带教情况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实习生排班</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实习生排班管理</w:t>
            </w:r>
          </w:p>
        </w:tc>
      </w:tr>
      <w:tr>
        <w:tblPrEx>
          <w:tblCellMar>
            <w:top w:w="0" w:type="dxa"/>
            <w:left w:w="0" w:type="dxa"/>
            <w:bottom w:w="0" w:type="dxa"/>
            <w:right w:w="0" w:type="dxa"/>
          </w:tblCellMar>
        </w:tblPrEx>
        <w:trPr>
          <w:trHeight w:val="3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护理排班管理</w:t>
            </w: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排班设置</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分组设置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设定各护理单元的排班分组信息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班次设置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可以按需设定各科室的班次，如班次的颜色，班时值等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夜班费设置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设定各护理单元的夜班费计算规则</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时间换算规则设置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设定医院每天的工作时间换算规则，夜班计入换算规则</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假期设置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设定医院的各种假日，比如国家法定假日、院庆日等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假期类型设置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维护各类假期类型，比如国庆节等</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排班约束设置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设定排班的各种约束，比如每周每人工作时间限制，白班人员数量等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排班功能</w:t>
            </w:r>
          </w:p>
        </w:tc>
        <w:tc>
          <w:tcPr>
            <w:tcW w:w="86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护士排班</w:t>
            </w:r>
          </w:p>
        </w:tc>
        <w:tc>
          <w:tcPr>
            <w:tcW w:w="2473" w:type="pct"/>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科室按周、按月排班</w:t>
            </w:r>
          </w:p>
        </w:tc>
      </w:tr>
      <w:tr>
        <w:tblPrEx>
          <w:tblCellMar>
            <w:top w:w="0" w:type="dxa"/>
            <w:left w:w="0" w:type="dxa"/>
            <w:bottom w:w="0" w:type="dxa"/>
            <w:right w:w="0" w:type="dxa"/>
          </w:tblCellMar>
        </w:tblPrEx>
        <w:trPr>
          <w:trHeight w:val="115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1.分病区、分人员按周填报护理人员每天排班数据及备注；2.支持一次操作多人、复制粘贴备注等功能；3.病区可自定义人员排序、班次颜色等，允许病区人员调出；4.支持彩色excel导出、彩色打印</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借调排班</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对临时借调到科室的人员进行排班</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排班轮班</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可以对相应的人员进行轮班管理</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★排班个人需求</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护士可以提出对班次的个人需求，如想上白班</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排班分组</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对科室内的人员进行分组排班</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排班审核</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护理部可以对各科室的排班进行监督</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★排班合理性查询</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科室排班界面，科室护士长可查看当前时间段的排班统计</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全院排班一览</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护理部可查看所有护理单元的排班以及提交情况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排班统计属性设置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用户可自由设定统计的内容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加扣班统计查看</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系统根据排班情况自动统计加扣班详情</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班时值统计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系统根据排班情况自动统计每个人的班时值并可导出、打印</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区域复制</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支持区域复制排班</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组排</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支持同一组护士一键安排同一个班次</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自定义显示列</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支持用户自定义显示显示列，并支持自定义列名称</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添加备注（文字、图形）</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支持排班备注、班次备注、人员备注、日期备注</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排班导出</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支持导出排班内容</w:t>
            </w:r>
          </w:p>
        </w:tc>
      </w:tr>
      <w:tr>
        <w:tblPrEx>
          <w:tblCellMar>
            <w:top w:w="0" w:type="dxa"/>
            <w:left w:w="0" w:type="dxa"/>
            <w:bottom w:w="0" w:type="dxa"/>
            <w:right w:w="0" w:type="dxa"/>
          </w:tblCellMar>
        </w:tblPrEx>
        <w:trPr>
          <w:trHeight w:val="87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排班打印（支持黑白打印、彩色打印）</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1、支持直接打印排班内容，2、支持用户自由调节字体大小3、并且可以自由选择打印内容；例如：可自由选择是否打印”班次合计“、”层级合计“；</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统计分析</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可以统计各科室各种班次的排班、在岗、休假等信息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夜班费统计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根据排班信息，自动计算夜班费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床护比</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统计科室执业护士人数及核定床位数，分析各科床护比</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★护患比</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统计上班护士人数及在院病人数，分析各科护患比</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私人需求统计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分析护士的私人需求提交次数及满足情况</w:t>
            </w:r>
          </w:p>
        </w:tc>
      </w:tr>
      <w:tr>
        <w:tblPrEx>
          <w:tblCellMar>
            <w:top w:w="0" w:type="dxa"/>
            <w:left w:w="0" w:type="dxa"/>
            <w:bottom w:w="0" w:type="dxa"/>
            <w:right w:w="0" w:type="dxa"/>
          </w:tblCellMar>
        </w:tblPrEx>
        <w:trPr>
          <w:trHeight w:val="87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护士请假申请</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护士可以直接在病区管理系统中网上增报请假申请，请假分事假、病假、产假、婚假、产前假、年休假等，如需填写医生诊断的请假，需填写开单医生及诊断。</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护士请假科室审批管理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科室(病区)护士长可进行审批并填写审批意见，如果不批也可以直接退回。</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护理部审批管理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护理部可对科室(病区)护士长提交的科室人员请假进行审批，如果不批可以直接退回科室。</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护士长请假申请</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护士长填报请假申请。</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护理部对护士长请假审批</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护理部对护士长的请假申请进行审批。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年休管理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可以维护各位护士的年假信息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存休管理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可以维护各位护士的存假信息</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请假自动生成排班</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系统可自动根据请假情况生成排班，在班次后显示请假总数并且自动计算当前班次是第几天</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请假统计</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系统根据请假情况自动统计护士、护士长、护理部的病假、事假、年假、产假、婚假等各种假期</w:t>
            </w:r>
          </w:p>
        </w:tc>
      </w:tr>
      <w:tr>
        <w:tblPrEx>
          <w:tblCellMar>
            <w:top w:w="0" w:type="dxa"/>
            <w:left w:w="0" w:type="dxa"/>
            <w:bottom w:w="0" w:type="dxa"/>
            <w:right w:w="0" w:type="dxa"/>
          </w:tblCellMar>
        </w:tblPrEx>
        <w:trPr>
          <w:trHeight w:val="144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请假概况统计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1、系统根据请假情况对全院、科室的在岗人员概况做统计汇总并且以图形的方式展现并支持下载；2、请假人员概况统计以图形的方式展现并支持下载；3、各护理单元请假人数分布以柱状图的形式展现并支持下载；4、请假人员详细信息以图标的形式展现并支持导出</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流程节点变化通知消息</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排班流程消息</w:t>
            </w:r>
          </w:p>
        </w:tc>
        <w:tc>
          <w:tcPr>
            <w:tcW w:w="2473" w:type="pct"/>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排班上报，退回将发送对应的流程消息到对应接收人</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请假流程消息</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请假审批通过，请假审批未通过将发送对应的流程消息到对应接收人</w:t>
            </w:r>
          </w:p>
        </w:tc>
      </w:tr>
      <w:tr>
        <w:tblPrEx>
          <w:tblCellMar>
            <w:top w:w="0" w:type="dxa"/>
            <w:left w:w="0" w:type="dxa"/>
            <w:bottom w:w="0" w:type="dxa"/>
            <w:right w:w="0" w:type="dxa"/>
          </w:tblCellMar>
        </w:tblPrEx>
        <w:trPr>
          <w:trHeight w:val="585"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护理日常工作</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每周护理隐患讨论</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护理隐患讨论记录，记录讨论时间、护理隐患内容、原困分析、整改措施、参加人数等信息。</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科务会议记录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护理科务会登记上报，记录参加科务会的人员、存在的问题、整体改措施、其它问题讨论的结果。</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工休会记录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填写工休会的讨论的内容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月计划与总结</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病区填报月工作计划/总结，护理部查看全院科室年度工作计划/总结。</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疑难病例讨论</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填写疑难病例讨论的相关内容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年度计划与总结</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病区填报年度工作计划/总结，护理部查看全院科室年度工作计划/总结。</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业务查房</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填写个案查看或者教学查房的相关内容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应急预案演练记录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填写应急预案演练记录</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疑难病例讨论</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填写护理部组织的疑难病例讨论内容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护士长例会</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填写护士长例会的讨论内容</w:t>
            </w:r>
          </w:p>
        </w:tc>
      </w:tr>
      <w:tr>
        <w:tblPrEx>
          <w:tblCellMar>
            <w:top w:w="0" w:type="dxa"/>
            <w:left w:w="0" w:type="dxa"/>
            <w:bottom w:w="0" w:type="dxa"/>
            <w:right w:w="0" w:type="dxa"/>
          </w:tblCellMar>
        </w:tblPrEx>
        <w:trPr>
          <w:trHeight w:val="3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护理质量检查</w:t>
            </w: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一级质量检查</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护理质量自查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登记各护理单元自行组织的质量检查结果</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二级质量检查</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二级护理质量抽查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登记各二级质控小组的成员</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二级质控小组管理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登记二级质控的质量检查结果</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质量检查任务(二级)</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分配二级质控的质量检查任务，比如参加人员、检查内容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三级质量检查</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三级护理质量抽查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登记三级质控的质量检查结果</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三级质控小组管理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登记各三级质控小组的成员</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质量检查任务(三级)</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分配三级质控的质量检查任务，比如参加人员、检查内容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质量模板维护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维护质量检查表，支持缺陷式，分数式，符合率式，以及选择式四种模型维护</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质量问题整改</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汇总科室和全院的质量检查问题，方便科室进行分析、整改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质量问题整改督查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根据PDCA的流程，对科室的质量检查问题整改情况进行跟踪、效果评价</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质量检查移动端(Andriod/Ipad)</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质量抽查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移动端登记一级、二级、三级质量检查结果，省却纸质文件转录</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抽查草稿箱</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存放"暂时保存"的检查记录，随时进行修改保存</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抽查记录</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汇总所有质量抽查记录</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往期问题回顾</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移动端查看科室往期质量问题，现场进行跟踪及效果评价</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待完成任务执行</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移动端执行质量检查任务，显示检查任务执行进度(已检查科室数及科室详情、待检查科室数及科室详情)</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已完成任务查看</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移动端查看已完成任务记录及详情，支持修改检查记录</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质量结果确认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提交质量检查记录时，由被检查科室护理人员输入工号及密码进行确认，减少争议</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统计分析</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质量分析报告</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产生某月或者某季度的质量报告，包括满分护理单元、合格护理单元、不合格护理单元、问题汇总</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质量检查得分分析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护理单元间的得分情况总览、对比分析，检查标准间的总览、对比分析；提供柱状图、折线图的分析形式</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质量检查得分趋势分析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对一个/多个科室的一次/多次质量检查得分情况绘制趋势图和趋势表，提供折线图形式</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质量检查得分对比分析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统计护理单元/检查内容在多个时间维度上的得分情况对比分析</w:t>
            </w:r>
          </w:p>
        </w:tc>
      </w:tr>
      <w:tr>
        <w:tblPrEx>
          <w:tblCellMar>
            <w:top w:w="0" w:type="dxa"/>
            <w:left w:w="0" w:type="dxa"/>
            <w:bottom w:w="0" w:type="dxa"/>
            <w:right w:w="0" w:type="dxa"/>
          </w:tblCellMar>
        </w:tblPrEx>
        <w:trPr>
          <w:trHeight w:val="87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质量检查问题分析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频发问题统计、频发问题护理单元统计，可以根据护理单元、检查内容、质控级别等进行过滤，提供柏拉图、柱状图、折线图分析形式</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质量检查问题对比分析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频发问题护理单元/频发问题检查内容在时间维度上的对比分析</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质量检查反馈表</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记录每次检查的得分、问题、整改情况，可根据护理单元、检查内容、质控级别等进行过滤</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质量整改原因维护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每个科室可自定义自己科室的质量整改原因模板，方便护士长填写质量问题的原因分析</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流程节点变化通知消息</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质量检查结果存在问题，质量检查整改完成，质量检查整改确认将发送对应的流程消息到对应接收人</w:t>
            </w:r>
          </w:p>
        </w:tc>
      </w:tr>
      <w:tr>
        <w:tblPrEx>
          <w:tblCellMar>
            <w:top w:w="0" w:type="dxa"/>
            <w:left w:w="0" w:type="dxa"/>
            <w:bottom w:w="0" w:type="dxa"/>
            <w:right w:w="0" w:type="dxa"/>
          </w:tblCellMar>
        </w:tblPrEx>
        <w:trPr>
          <w:trHeight w:val="3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敏感指标（手工录入数据）</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指标配置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根据医院要求配置符合医院需求的全院指标和专科指标</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指标数据采集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可以以日、周、月的方式手动采集指标的数据</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指标上报督查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护理部或者科护士长可以查看指定护理单元的敏感指标是否已经上报</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提供各个月的指标数据曲线及警戒线，以便分析指标超标情况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指标对比</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可以对比不同年份的指标数据</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指标科间对比</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可以对比科室间不同指标的情况</w:t>
            </w:r>
          </w:p>
        </w:tc>
      </w:tr>
      <w:tr>
        <w:tblPrEx>
          <w:tblCellMar>
            <w:top w:w="0" w:type="dxa"/>
            <w:left w:w="0" w:type="dxa"/>
            <w:bottom w:w="0" w:type="dxa"/>
            <w:right w:w="0" w:type="dxa"/>
          </w:tblCellMar>
        </w:tblPrEx>
        <w:trPr>
          <w:trHeight w:val="3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不良事件管理</w:t>
            </w:r>
          </w:p>
        </w:tc>
        <w:tc>
          <w:tcPr>
            <w:tcW w:w="1025"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不良事件填报表管理</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定制符合医院要求的护理不良事件模板</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不良事件上报</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支持实名及匿名方式的不良事件上报</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不良事件管理（护理部）</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护理根据实际情况可以对各护理单元的不良事件提出整改意见等，也可以转交给质控组进行处理</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不良事件管理（质控组）</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各质控组(如压疮小组)对不良事件提出整改意见</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质控小组设置</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设置和管理不良事件质控小组名单</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不良事件跟踪</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可以根据闭环管理流程进行不良事件的分析、整改以及评价，包括质量委员会和护理部两种跟踪模型</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不良事件分析</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不良事件概况统计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统计不良事件的整体情况，比如各护理单元各类不良事件的数量</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压疮汇总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显示压疮不良事件的各种信息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给药错误汇总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显示给药错误不良事件的各种信息</w:t>
            </w:r>
          </w:p>
        </w:tc>
      </w:tr>
      <w:tr>
        <w:tblPrEx>
          <w:tblCellMar>
            <w:top w:w="0" w:type="dxa"/>
            <w:left w:w="0" w:type="dxa"/>
            <w:bottom w:w="0" w:type="dxa"/>
            <w:right w:w="0" w:type="dxa"/>
          </w:tblCellMar>
        </w:tblPrEx>
        <w:trPr>
          <w:trHeight w:val="33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跌倒、坠床汇总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显示跌倒/坠床不良事件的各种信息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管道滑脱汇总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显示管道滑脱不良事件的各种信息</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★不良事件概要分析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对不同科室、不同类型的不良事件进行概要分析，包括数量、发生时间段等，提供柱状图、柏拉图等</w:t>
            </w:r>
          </w:p>
        </w:tc>
      </w:tr>
      <w:tr>
        <w:tblPrEx>
          <w:tblCellMar>
            <w:top w:w="0" w:type="dxa"/>
            <w:left w:w="0" w:type="dxa"/>
            <w:bottom w:w="0" w:type="dxa"/>
            <w:right w:w="0" w:type="dxa"/>
          </w:tblCellMar>
        </w:tblPrEx>
        <w:trPr>
          <w:trHeight w:val="64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★不良事件案例分享</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分享不良事件案例，发放给各科室学习(在分享时，系统支持隐藏不良事件中的敏感信息如：病人信息、责任人信息)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不良事件统计设置</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不良事件专项统计类型设置</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流程节点变化通知消息</w:t>
            </w:r>
          </w:p>
        </w:tc>
        <w:tc>
          <w:tcPr>
            <w:tcW w:w="3338"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不良事件上报，不良事件退回，不良事件护理部整改意见，不良事件科室整改，不良事件科室整改护理部确认将发送对应的流程消息到对应接收人</w:t>
            </w:r>
          </w:p>
        </w:tc>
      </w:tr>
      <w:tr>
        <w:tblPrEx>
          <w:tblCellMar>
            <w:top w:w="0" w:type="dxa"/>
            <w:left w:w="0" w:type="dxa"/>
            <w:bottom w:w="0" w:type="dxa"/>
            <w:right w:w="0" w:type="dxa"/>
          </w:tblCellMar>
        </w:tblPrEx>
        <w:trPr>
          <w:trHeight w:val="585" w:hRule="atLeast"/>
        </w:trPr>
        <w:tc>
          <w:tcPr>
            <w:tcW w:w="635" w:type="pct"/>
            <w:vMerge w:val="restart"/>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满意度调查</w:t>
            </w: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住院患者满意度调查表管理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可以维护符合医院/科室要求的在院患者满意度调查表</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住院患者满意度调查(科室)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科室可以发起在院患者满意度调查</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住院患者满意度调查(护理部)</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护理部可以发起在院患者满意度调查</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住院患者满意度调查统计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可以统计各科室/全院的患者满意度得分情况以及排名</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住院患者满意度项目分析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可以分析各个调查项目的得分情况，以便找出科室或者全院的薄弱项目进行整改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住院患者满意度趋势分析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对同一科室或者全院的在院患者满意度进行趋势跟踪以及同比/环比分析</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住院患者意见建议汇总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对于患者提出的意见/建议进行汇总</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护士满意度调查表管理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可以维护符合医院/科室要求的对护士满意度调查表</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发起护士满意度调查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可以对不同层级/工作年限/职称/职务的护士进行随机满意度调查</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护士满意度填写</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护士完成满意度填写</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可以统计各科室/全院的护士满意度得分情况</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护士满意度项目分析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可以分析各个调查项目的得分情况，以便找出薄弱项目进行改进</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护士满意度趋势分析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对同一科室或者全院的护士满意度进行趋势跟踪以及同比/环比分析</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护士意见建议汇总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对于护士提出的意见/建议进行汇总分析</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护士满意度对比</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护士满意度对比统计</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对护士长满意度调查表管理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可以维护符合医院要求的护士对护士长的满意度调查表</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发起对护士长满意度调查</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可以针对不同层级/工作年限/职称/职务的护士进行对某护士长的随机满意度调查</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护士长满意度调查统计</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可以分析对被调查护士长的满意度得分情况</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对护士长满意度项目分析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可以分析各各调查项目的得分情况，以便找出护士长的薄弱项目</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对护士长满意度趋势分析</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对同一护士长的满意度进行趋势跟踪以及同比/环比分析</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★住院患者满意度PAD端</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患者满意度调查移动端</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移动端患者满意度调查，省却纸质文件转录</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满意度选项设置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维护满意度的各种选项类型</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满意度选项维护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维护满意度的各种选项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nil"/>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满意度调查表管理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维护满意度调查表</w:t>
            </w:r>
          </w:p>
        </w:tc>
      </w:tr>
      <w:tr>
        <w:tblPrEx>
          <w:tblCellMar>
            <w:top w:w="0" w:type="dxa"/>
            <w:left w:w="0" w:type="dxa"/>
            <w:bottom w:w="0" w:type="dxa"/>
            <w:right w:w="0" w:type="dxa"/>
          </w:tblCellMar>
        </w:tblPrEx>
        <w:trPr>
          <w:trHeight w:val="585"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护理继续教育和科研</w:t>
            </w: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学习记录</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科内业务学习</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登记科内业务学习的信息，包括课程名称、授课老师、时间、学分等内容。</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院内业务学习</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登记院内学习的信息，包括课程名称、开课时间、学分、学时、授课老师等内容。</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学习班</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登记护士参加学习班的信息，包括内容、时间、学分、学时等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护理科研</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论文</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登记各护士发表的论文情况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编著</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登记各护士编写的著作情况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专利</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登记各护士申请的专利情况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课题</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登记各护士申请的课题情况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学术会议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登记各护士参加学术会议的情况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学术任职</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登记各护士在学术机构的任职情况</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奖励</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登记各护士获得的奖励情况</w:t>
            </w:r>
          </w:p>
        </w:tc>
      </w:tr>
      <w:tr>
        <w:tblPrEx>
          <w:tblCellMar>
            <w:top w:w="0" w:type="dxa"/>
            <w:left w:w="0" w:type="dxa"/>
            <w:bottom w:w="0" w:type="dxa"/>
            <w:right w:w="0" w:type="dxa"/>
          </w:tblCellMar>
        </w:tblPrEx>
        <w:trPr>
          <w:trHeight w:val="87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护士专业档案</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个人专业技术档案</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个人填报、查看专业技术档案（包括学习班、学术会议、院内业务学习、科内业务学习、在读学历信息、物殊情况处理、论文、著作、课师、相关证书导入等）</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个人专业技术档案科室汇总</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从科室的角度查看各护理人员的专业技术档案</w:t>
            </w:r>
          </w:p>
        </w:tc>
      </w:tr>
      <w:tr>
        <w:tblPrEx>
          <w:tblCellMar>
            <w:top w:w="0" w:type="dxa"/>
            <w:left w:w="0" w:type="dxa"/>
            <w:bottom w:w="0" w:type="dxa"/>
            <w:right w:w="0" w:type="dxa"/>
          </w:tblCellMar>
        </w:tblPrEx>
        <w:trPr>
          <w:trHeight w:val="585"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学时学分管理</w:t>
            </w: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学时学分督导</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提醒医院所有护理人员今年所需的各类学分总分，完成的情况，以及是否达标。</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02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865"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学时学分督导规则</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设定不同资质人员的学分学时要求</w:t>
            </w:r>
          </w:p>
        </w:tc>
      </w:tr>
      <w:tr>
        <w:tblPrEx>
          <w:tblCellMar>
            <w:top w:w="0" w:type="dxa"/>
            <w:left w:w="0" w:type="dxa"/>
            <w:bottom w:w="0" w:type="dxa"/>
            <w:right w:w="0" w:type="dxa"/>
          </w:tblCellMar>
        </w:tblPrEx>
        <w:trPr>
          <w:trHeight w:val="300" w:hRule="atLeast"/>
        </w:trPr>
        <w:tc>
          <w:tcPr>
            <w:tcW w:w="635"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消息中心</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院内消息通知通告</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可以发送通知通告给指定人员，以便传达信息</w:t>
            </w:r>
          </w:p>
        </w:tc>
      </w:tr>
      <w:tr>
        <w:tblPrEx>
          <w:tblCellMar>
            <w:top w:w="0" w:type="dxa"/>
            <w:left w:w="0" w:type="dxa"/>
            <w:bottom w:w="0" w:type="dxa"/>
            <w:right w:w="0" w:type="dxa"/>
          </w:tblCellMar>
        </w:tblPrEx>
        <w:trPr>
          <w:trHeight w:val="300" w:hRule="atLeast"/>
        </w:trPr>
        <w:tc>
          <w:tcPr>
            <w:tcW w:w="63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系统设置</w:t>
            </w: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系统字典维护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维护系统内使用的基础数据，比如层级等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护理单元维护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维护医院的各护理单元</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系统用户角色维护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维护系统内的各种角色</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系统用户维护</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维护系统内的用户，包括角色分配，数据权限分配等</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文书模板管理</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维护系统内的文书模板</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科室设置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维护医院的科室信息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院区设置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维护医院的院区信息</w:t>
            </w:r>
          </w:p>
        </w:tc>
      </w:tr>
      <w:tr>
        <w:tblPrEx>
          <w:tblCellMar>
            <w:top w:w="0" w:type="dxa"/>
            <w:left w:w="0" w:type="dxa"/>
            <w:bottom w:w="0" w:type="dxa"/>
            <w:right w:w="0" w:type="dxa"/>
          </w:tblCellMar>
        </w:tblPrEx>
        <w:trPr>
          <w:trHeight w:val="300" w:hRule="atLeast"/>
        </w:trPr>
        <w:tc>
          <w:tcPr>
            <w:tcW w:w="63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p>
        </w:tc>
        <w:tc>
          <w:tcPr>
            <w:tcW w:w="1891" w:type="pct"/>
            <w:gridSpan w:val="2"/>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消息提醒设置</w:t>
            </w:r>
          </w:p>
        </w:tc>
        <w:tc>
          <w:tcPr>
            <w:tcW w:w="2473" w:type="pct"/>
            <w:tcBorders>
              <w:top w:val="nil"/>
              <w:left w:val="nil"/>
              <w:bottom w:val="single" w:color="000000" w:sz="8" w:space="0"/>
              <w:right w:val="single" w:color="000000" w:sz="8" w:space="0"/>
            </w:tcBorders>
            <w:noWrap w:val="0"/>
            <w:tcMar>
              <w:top w:w="15" w:type="dxa"/>
              <w:left w:w="15" w:type="dxa"/>
              <w:right w:w="15" w:type="dxa"/>
            </w:tcMar>
            <w:vAlign w:val="center"/>
          </w:tcPr>
          <w:p>
            <w:pPr>
              <w:pStyle w:val="14"/>
              <w:bidi w:val="0"/>
              <w:rPr>
                <w:rFonts w:hint="eastAsia"/>
                <w:lang w:val="en-US" w:eastAsia="zh-CN"/>
              </w:rPr>
            </w:pPr>
            <w:r>
              <w:rPr>
                <w:rFonts w:hint="eastAsia"/>
                <w:lang w:val="en-US" w:eastAsia="zh-CN"/>
              </w:rPr>
              <w:t>维护系统内的消息提醒信息，比如什么消息需要通知</w:t>
            </w:r>
          </w:p>
        </w:tc>
      </w:tr>
    </w:tbl>
    <w:p>
      <w:pPr>
        <w:ind w:left="0" w:leftChars="0" w:firstLine="0" w:firstLineChars="0"/>
        <w:rPr>
          <w:rFonts w:hint="eastAsia"/>
        </w:rPr>
      </w:pPr>
    </w:p>
    <w:p>
      <w:pPr>
        <w:pStyle w:val="5"/>
        <w:numPr>
          <w:ilvl w:val="3"/>
          <w:numId w:val="0"/>
        </w:numPr>
        <w:spacing w:before="156" w:after="156"/>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（二）</w:t>
      </w:r>
      <w:r>
        <w:rPr>
          <w:rFonts w:hint="eastAsia" w:ascii="方正楷体_GBK" w:hAnsi="方正楷体_GBK" w:eastAsia="方正楷体_GBK" w:cs="方正楷体_GBK"/>
          <w:b w:val="0"/>
          <w:bCs/>
          <w:sz w:val="32"/>
          <w:szCs w:val="32"/>
        </w:rPr>
        <w:t>移动输液管理系统技术参数要求</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4"/>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系统整体要求</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1、部署移动门诊输液管理系统；通过移动计算技术、RFID技术、条码识别技术及移动终端，规范和优化医院输液室工作流程；</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2、部署统一的物联网，考虑到简化实施的复杂度以缩短周期，方便后期管理和维护，以及门诊输液室的整体美观程度，采用集无线网和RFID传感网功能于一体的物联网AP设备，便于以后固件插卡升级扩展；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3、系统采用传输效率高的REST框架，支持不同版本的数据库(包括主流的SQL Server, Oracle, PostgreSQL)等。</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4"/>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系统功能要求</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w:t>
      </w:r>
      <w:r>
        <w:rPr>
          <w:rFonts w:hint="eastAsia" w:ascii="方正仿宋_GBK" w:hAnsi="方正仿宋_GBK" w:eastAsia="方正仿宋_GBK" w:cs="方正仿宋_GBK"/>
          <w:b/>
          <w:sz w:val="28"/>
          <w:szCs w:val="28"/>
        </w:rPr>
        <w:t>员工登录扫描模块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PC端通过输入用户名和密码登录系统，PDA可通过输入用户名和密码、扫描员工号或者安全号三种模式进行登录。</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lang w:val="en-US" w:eastAsia="zh-CN"/>
        </w:rPr>
        <w:t>2)接单打印标签模块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 电子处方可通过手动输入处方号、扫描处方单、刷卡三种方式查找处方，非电子处方可通过手工方的方式接单。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 对于处方信息可以进行多处方选择、修改计量、拆分处方剂量、拆分处方数量、组方向导、智能组方等操作，这些功能可以通过控制台开启或者关闭</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 对PC显示的标签可以调整标签顺序、设置滴速、设置标签打印张数、注意事项等操作。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 可以对特殊的患者进行留号操作，该患者到接单台接单时设置留号的序号，无须排队，另外排队需要可以进行重置。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2.5 可进行分配座位的操作，操作模式有自动分配和手动分配。</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2.6 接单信息确认后可保存并打印患者联和药物联标签，也可以选择保存不打印，未进行配药操作前可以在最近接单界面取消接单，也可以进行补打标签的操作。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3)</w:t>
      </w:r>
      <w:r>
        <w:rPr>
          <w:rFonts w:hint="eastAsia" w:ascii="方正仿宋_GBK" w:hAnsi="方正仿宋_GBK" w:eastAsia="方正仿宋_GBK" w:cs="方正仿宋_GBK"/>
          <w:b/>
          <w:sz w:val="28"/>
          <w:szCs w:val="28"/>
        </w:rPr>
        <w:t>配药模块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3.1 PDA在配药界面扫描标签记录配药人和配药时间，在规定时间内可以撤销配药操作。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3.2 PDA在核对班界面扫描标签表示对配药人操作正确的再次确认。</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4)</w:t>
      </w:r>
      <w:r>
        <w:rPr>
          <w:rFonts w:hint="eastAsia" w:ascii="方正仿宋_GBK" w:hAnsi="方正仿宋_GBK" w:eastAsia="方正仿宋_GBK" w:cs="方正仿宋_GBK"/>
          <w:b/>
          <w:sz w:val="28"/>
          <w:szCs w:val="28"/>
        </w:rPr>
        <w:t>穿刺呼叫模块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4.1 支持智能显控棒连接电视机的模式显示呼叫信息，并包含语音模块，无须连接音频线和视频线。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4.2 穿刺呼叫分集中穿刺呼叫模式和座位呼叫模式，集中穿刺呼叫模式——通过护士扫描药物联将患者呼叫到穿刺台，座位穿刺模式——呼叫屏上显示患者的等待队列，以便患者知道前面还需要等待几个人。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4.3 患者在输液时，如果护士需要呼叫患者，可通过PDA进行呼叫操作。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5)</w:t>
      </w:r>
      <w:r>
        <w:rPr>
          <w:rFonts w:hint="eastAsia" w:ascii="方正仿宋_GBK" w:hAnsi="方正仿宋_GBK" w:eastAsia="方正仿宋_GBK" w:cs="方正仿宋_GBK"/>
          <w:b/>
          <w:sz w:val="28"/>
          <w:szCs w:val="28"/>
        </w:rPr>
        <w:t>穿刺模块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5.1 通过PDA扫描药物联和病人联标签双条码核对，核对正确后才可以进行输液，核对错误系统会有声音和震动的提示，规定时间内可撤销穿刺操作。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5.2 可进行特殊穿刺的操作，包括重新穿刺、异常穿刺、资深护士穿刺。</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6)</w:t>
      </w:r>
      <w:r>
        <w:rPr>
          <w:rFonts w:hint="eastAsia" w:ascii="方正仿宋_GBK" w:hAnsi="方正仿宋_GBK" w:eastAsia="方正仿宋_GBK" w:cs="方正仿宋_GBK"/>
          <w:b/>
          <w:sz w:val="28"/>
          <w:szCs w:val="28"/>
        </w:rPr>
        <w:t>换药模块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通过PDA扫描药物联和病人联标签双条码核对，核对正确后才可以进行换药，核对错误系统会有声音和震动的提示，规定时间内可撤销换药操作。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5"/>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7)</w:t>
      </w:r>
      <w:r>
        <w:rPr>
          <w:rFonts w:hint="eastAsia" w:ascii="方正仿宋_GBK" w:hAnsi="方正仿宋_GBK" w:eastAsia="方正仿宋_GBK" w:cs="方正仿宋_GBK"/>
          <w:b/>
          <w:sz w:val="28"/>
          <w:szCs w:val="28"/>
        </w:rPr>
        <w:t>加药模块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正在输液过程中的患者增加一个处方时，可以在接单界面进行加药的操作，选择加药只打印药物联，和之前接单打印的病人联相匹配。</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8)</w:t>
      </w:r>
      <w:r>
        <w:rPr>
          <w:rFonts w:hint="eastAsia" w:ascii="方正仿宋_GBK" w:hAnsi="方正仿宋_GBK" w:eastAsia="方正仿宋_GBK" w:cs="方正仿宋_GBK"/>
          <w:b/>
          <w:sz w:val="28"/>
          <w:szCs w:val="28"/>
        </w:rPr>
        <w:t>联合输液模块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当两袋药物同时进行输液时，可扫描先输的药物联和病人联核对，再扫描同时要输的另一袋药物的药物联，再扫描药物联联合输液条码和病人联进行联合输液的操作。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9)</w:t>
      </w:r>
      <w:r>
        <w:rPr>
          <w:rFonts w:hint="eastAsia" w:ascii="方正仿宋_GBK" w:hAnsi="方正仿宋_GBK" w:eastAsia="方正仿宋_GBK" w:cs="方正仿宋_GBK"/>
          <w:b/>
          <w:sz w:val="28"/>
          <w:szCs w:val="28"/>
        </w:rPr>
        <w:t>座位呼叫模块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9.1 当患者按了座位上的呼叫按钮以后，智能电视机和PDA上都会显示呼叫内容。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9.2 护士可以对PDA上的呼叫信息进行处理，系统记录处理人和处理时间。</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10)</w:t>
      </w:r>
      <w:r>
        <w:rPr>
          <w:rFonts w:hint="eastAsia" w:ascii="方正仿宋_GBK" w:hAnsi="方正仿宋_GBK" w:eastAsia="方正仿宋_GBK" w:cs="方正仿宋_GBK"/>
          <w:b/>
          <w:sz w:val="28"/>
          <w:szCs w:val="28"/>
        </w:rPr>
        <w:t>巡视模块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10.1 可选择药物设置滴速、药袋信息。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10.2 可选择添加异常巡视记录，记录患者的异常信息、滴速和操作类型。</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10.3 可选择快速添加巡视记录，逐个扫描患者记录患者的信息。</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11)</w:t>
      </w:r>
      <w:r>
        <w:rPr>
          <w:rFonts w:hint="eastAsia" w:ascii="方正仿宋_GBK" w:hAnsi="方正仿宋_GBK" w:eastAsia="方正仿宋_GBK" w:cs="方正仿宋_GBK"/>
          <w:b/>
          <w:sz w:val="28"/>
          <w:szCs w:val="28"/>
        </w:rPr>
        <w:t>结束操作模块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11.1 PDA上扫描患者，可选择结束输液的操作。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11.2 可以在PC端界面进行结束输液的操作。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12)</w:t>
      </w:r>
      <w:r>
        <w:rPr>
          <w:rFonts w:hint="eastAsia" w:ascii="方正仿宋_GBK" w:hAnsi="方正仿宋_GBK" w:eastAsia="方正仿宋_GBK" w:cs="方正仿宋_GBK"/>
          <w:b/>
          <w:sz w:val="28"/>
          <w:szCs w:val="28"/>
        </w:rPr>
        <w:t>座位查询管理模块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12.1 PC端可对查询座位状态，对座位进行释放、占用和重新分配的操作。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12.2 PDA端可对查询座位状态，对座位进行释放、占用和重新分配的操作。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13)</w:t>
      </w:r>
      <w:r>
        <w:rPr>
          <w:rFonts w:hint="eastAsia" w:ascii="方正仿宋_GBK" w:hAnsi="方正仿宋_GBK" w:eastAsia="方正仿宋_GBK" w:cs="方正仿宋_GBK"/>
          <w:b/>
          <w:sz w:val="28"/>
          <w:szCs w:val="28"/>
        </w:rPr>
        <w:t>查询管理模块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13.1可查看患者的联系方式，家庭住址等信息，当护士发现患者将贵重物品遗忘在输液室时，方便联系患者或患者家属。</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13.2可查看患者的就诊卡号，门诊号，处方号，以及相关处方信息，方便护士查找相关的接单记录。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13.3可查看某个患者输液过程中的接单人，接单时间，配药人，配药时间，穿刺人，穿刺时间，结束人，和结束时间，以及输液过程中患者出现不良反应护士对其记录的输液巡视明细，实现了输液操作的全过程追溯。如果引起医疗纠纷，可通过记录追溯到每个操作环节，同时也使护士工作量的统计更精细化。</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13.4可按照开方科室，药物的用法，输液袋数，成人和儿童等维度来统计输液人数，可生成报表导出，方便护士长统计工作量以及向上级汇报工作。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13.5 可统计护士的工作质量，包括配药漏扫率、执行漏扫率、拔针率、及时配药、教慢配药、及时执行等数据，作为护士长考核并提高护士工作质量的依据.</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14)</w:t>
      </w:r>
      <w:r>
        <w:rPr>
          <w:rFonts w:hint="eastAsia" w:ascii="方正仿宋_GBK" w:hAnsi="方正仿宋_GBK" w:eastAsia="方正仿宋_GBK" w:cs="方正仿宋_GBK"/>
          <w:b/>
          <w:sz w:val="28"/>
          <w:szCs w:val="28"/>
        </w:rPr>
        <w:t>叫号管理模块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可对本机呼叫屏的显示内容，滚动条内容和背景音乐进行设置。</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15)</w:t>
      </w:r>
      <w:r>
        <w:rPr>
          <w:rFonts w:hint="eastAsia" w:ascii="方正仿宋_GBK" w:hAnsi="方正仿宋_GBK" w:eastAsia="方正仿宋_GBK" w:cs="方正仿宋_GBK"/>
          <w:b/>
          <w:sz w:val="28"/>
          <w:szCs w:val="28"/>
        </w:rPr>
        <w:t>系统设置模块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可设置科室、角色、用户、接单台、输液区、输液台、床位、异巡视异常、输液结束原因、待统计大输液袋管理、座位呼叫监听、设备管理、抗生素药物管理进行配置。</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val="en-US" w:eastAsia="zh-CN"/>
        </w:rPr>
        <w:t>16)</w:t>
      </w:r>
      <w:r>
        <w:rPr>
          <w:rFonts w:hint="eastAsia" w:ascii="方正仿宋_GBK" w:hAnsi="方正仿宋_GBK" w:eastAsia="方正仿宋_GBK" w:cs="方正仿宋_GBK"/>
          <w:b/>
          <w:sz w:val="28"/>
          <w:szCs w:val="28"/>
        </w:rPr>
        <w:t>控制台模块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16.1 可配置数据源信息、医院的地址、电话等信息。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16.2 可根据医院的不同业务流程配置不同的功能，比如打印标签类型、大小、张数，是否自动分配座位，执行操作的步骤等。</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16.3 可配置标签上需要显示的内容，用药的步骤和呼叫显示的内容。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16.4 可对配置文件、日志、扩展包、程序包进行上传、下载等管理操作，查看目前程序的运行状态和程序版本。</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16.5 可进行接口的自动诊断，导出诊断结果。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16.6 可支持软件和文档的上传、下载等管理操作。</w:t>
      </w:r>
    </w:p>
    <w:p>
      <w:pPr>
        <w:pStyle w:val="5"/>
        <w:numPr>
          <w:ilvl w:val="3"/>
          <w:numId w:val="0"/>
        </w:numPr>
        <w:spacing w:before="156" w:after="156"/>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val="en-US" w:eastAsia="zh-CN"/>
        </w:rPr>
        <w:t>（三）</w:t>
      </w:r>
      <w:r>
        <w:rPr>
          <w:rFonts w:hint="eastAsia" w:ascii="方正楷体_GBK" w:hAnsi="方正楷体_GBK" w:eastAsia="方正楷体_GBK" w:cs="方正楷体_GBK"/>
          <w:b w:val="0"/>
          <w:bCs/>
          <w:sz w:val="32"/>
          <w:szCs w:val="32"/>
        </w:rPr>
        <w:t>智能显控棒技术参数要求</w:t>
      </w:r>
    </w:p>
    <w:tbl>
      <w:tblPr>
        <w:tblStyle w:val="12"/>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12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序号</w:t>
            </w:r>
          </w:p>
        </w:tc>
        <w:tc>
          <w:tcPr>
            <w:tcW w:w="2125" w:type="dxa"/>
            <w:tcBorders>
              <w:top w:val="single" w:color="auto" w:sz="4" w:space="0"/>
              <w:bottom w:val="single" w:color="auto" w:sz="4" w:space="0"/>
            </w:tcBorders>
            <w:noWrap w:val="0"/>
            <w:vAlign w:val="center"/>
          </w:tcPr>
          <w:p>
            <w:pPr>
              <w:pStyle w:val="14"/>
            </w:pPr>
            <w:r>
              <w:rPr>
                <w:rFonts w:hint="eastAsia"/>
              </w:rPr>
              <w:t>指标</w:t>
            </w:r>
          </w:p>
        </w:tc>
        <w:tc>
          <w:tcPr>
            <w:tcW w:w="5670" w:type="dxa"/>
            <w:tcBorders>
              <w:top w:val="single" w:color="auto" w:sz="4" w:space="0"/>
              <w:bottom w:val="single" w:color="auto" w:sz="4" w:space="0"/>
            </w:tcBorders>
            <w:noWrap w:val="0"/>
            <w:vAlign w:val="center"/>
          </w:tcPr>
          <w:p>
            <w:pPr>
              <w:pStyle w:val="14"/>
            </w:pPr>
            <w:r>
              <w:t>技术规范要求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1</w:t>
            </w:r>
          </w:p>
        </w:tc>
        <w:tc>
          <w:tcPr>
            <w:tcW w:w="2125" w:type="dxa"/>
            <w:tcBorders>
              <w:top w:val="single" w:color="auto" w:sz="4" w:space="0"/>
              <w:bottom w:val="single" w:color="auto" w:sz="4" w:space="0"/>
            </w:tcBorders>
            <w:noWrap w:val="0"/>
            <w:vAlign w:val="center"/>
          </w:tcPr>
          <w:p>
            <w:pPr>
              <w:pStyle w:val="14"/>
            </w:pPr>
            <w:r>
              <w:rPr>
                <w:rFonts w:hint="eastAsia"/>
              </w:rPr>
              <w:t>输出分辨率</w:t>
            </w:r>
          </w:p>
        </w:tc>
        <w:tc>
          <w:tcPr>
            <w:tcW w:w="5670" w:type="dxa"/>
            <w:tcBorders>
              <w:top w:val="single" w:color="auto" w:sz="4" w:space="0"/>
              <w:bottom w:val="single" w:color="auto" w:sz="4" w:space="0"/>
            </w:tcBorders>
            <w:noWrap w:val="0"/>
            <w:vAlign w:val="center"/>
          </w:tcPr>
          <w:p>
            <w:pPr>
              <w:pStyle w:val="14"/>
              <w:jc w:val="left"/>
            </w:pPr>
            <w:r>
              <w:rPr>
                <w:rFonts w:hint="eastAsia"/>
              </w:rPr>
              <w:t>≥1080P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2</w:t>
            </w:r>
          </w:p>
        </w:tc>
        <w:tc>
          <w:tcPr>
            <w:tcW w:w="2125" w:type="dxa"/>
            <w:tcBorders>
              <w:top w:val="single" w:color="auto" w:sz="4" w:space="0"/>
              <w:bottom w:val="single" w:color="auto" w:sz="4" w:space="0"/>
            </w:tcBorders>
            <w:noWrap w:val="0"/>
            <w:vAlign w:val="center"/>
          </w:tcPr>
          <w:p>
            <w:pPr>
              <w:pStyle w:val="14"/>
            </w:pPr>
            <w:r>
              <w:rPr>
                <w:rFonts w:hint="eastAsia"/>
              </w:rPr>
              <w:t>视频播放格式</w:t>
            </w:r>
          </w:p>
        </w:tc>
        <w:tc>
          <w:tcPr>
            <w:tcW w:w="5670" w:type="dxa"/>
            <w:tcBorders>
              <w:top w:val="single" w:color="auto" w:sz="4" w:space="0"/>
              <w:bottom w:val="single" w:color="auto" w:sz="4" w:space="0"/>
            </w:tcBorders>
            <w:noWrap w:val="0"/>
            <w:vAlign w:val="center"/>
          </w:tcPr>
          <w:p>
            <w:pPr>
              <w:pStyle w:val="14"/>
              <w:jc w:val="left"/>
            </w:pPr>
            <w:r>
              <w:rPr>
                <w:rFonts w:hint="eastAsia"/>
              </w:rPr>
              <w:t>支持DAT, VOB, MPEG, MPG, AVI, MP4, ASM等常规格式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3</w:t>
            </w:r>
          </w:p>
        </w:tc>
        <w:tc>
          <w:tcPr>
            <w:tcW w:w="2125" w:type="dxa"/>
            <w:tcBorders>
              <w:top w:val="single" w:color="auto" w:sz="4" w:space="0"/>
              <w:bottom w:val="single" w:color="auto" w:sz="4" w:space="0"/>
            </w:tcBorders>
            <w:noWrap w:val="0"/>
            <w:vAlign w:val="center"/>
          </w:tcPr>
          <w:p>
            <w:pPr>
              <w:pStyle w:val="14"/>
            </w:pPr>
            <w:r>
              <w:rPr>
                <w:rFonts w:hint="eastAsia"/>
              </w:rPr>
              <w:t>音频播放格式</w:t>
            </w:r>
          </w:p>
        </w:tc>
        <w:tc>
          <w:tcPr>
            <w:tcW w:w="5670" w:type="dxa"/>
            <w:tcBorders>
              <w:top w:val="single" w:color="auto" w:sz="4" w:space="0"/>
              <w:bottom w:val="single" w:color="auto" w:sz="4" w:space="0"/>
            </w:tcBorders>
            <w:noWrap w:val="0"/>
            <w:vAlign w:val="center"/>
          </w:tcPr>
          <w:p>
            <w:pPr>
              <w:pStyle w:val="14"/>
              <w:jc w:val="left"/>
            </w:pPr>
            <w:r>
              <w:rPr>
                <w:rFonts w:hint="eastAsia"/>
              </w:rPr>
              <w:t>支持MP3, WAV, WMA, OGG, AAC, FLAC等常规格式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4</w:t>
            </w:r>
          </w:p>
        </w:tc>
        <w:tc>
          <w:tcPr>
            <w:tcW w:w="2125" w:type="dxa"/>
            <w:tcBorders>
              <w:top w:val="single" w:color="auto" w:sz="4" w:space="0"/>
              <w:bottom w:val="single" w:color="auto" w:sz="4" w:space="0"/>
            </w:tcBorders>
            <w:noWrap w:val="0"/>
            <w:vAlign w:val="center"/>
          </w:tcPr>
          <w:p>
            <w:pPr>
              <w:pStyle w:val="14"/>
            </w:pPr>
            <w:r>
              <w:rPr>
                <w:rFonts w:hint="eastAsia"/>
              </w:rPr>
              <w:t>画面浏览</w:t>
            </w:r>
          </w:p>
        </w:tc>
        <w:tc>
          <w:tcPr>
            <w:tcW w:w="5670" w:type="dxa"/>
            <w:tcBorders>
              <w:top w:val="single" w:color="auto" w:sz="4" w:space="0"/>
              <w:bottom w:val="single" w:color="auto" w:sz="4" w:space="0"/>
            </w:tcBorders>
            <w:noWrap w:val="0"/>
            <w:vAlign w:val="center"/>
          </w:tcPr>
          <w:p>
            <w:pPr>
              <w:pStyle w:val="14"/>
              <w:jc w:val="left"/>
            </w:pPr>
            <w:r>
              <w:rPr>
                <w:rFonts w:hint="eastAsia"/>
              </w:rPr>
              <w:t>支持JPG, JPEG, BMP, PNG, GIF等常规格式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5</w:t>
            </w:r>
          </w:p>
        </w:tc>
        <w:tc>
          <w:tcPr>
            <w:tcW w:w="2125" w:type="dxa"/>
            <w:tcBorders>
              <w:top w:val="single" w:color="auto" w:sz="4" w:space="0"/>
              <w:bottom w:val="single" w:color="auto" w:sz="4" w:space="0"/>
            </w:tcBorders>
            <w:noWrap w:val="0"/>
            <w:vAlign w:val="center"/>
          </w:tcPr>
          <w:p>
            <w:pPr>
              <w:pStyle w:val="14"/>
            </w:pPr>
            <w:r>
              <w:rPr>
                <w:rFonts w:hint="eastAsia"/>
              </w:rPr>
              <w:t>本机存储</w:t>
            </w:r>
          </w:p>
        </w:tc>
        <w:tc>
          <w:tcPr>
            <w:tcW w:w="5670" w:type="dxa"/>
            <w:tcBorders>
              <w:top w:val="single" w:color="auto" w:sz="4" w:space="0"/>
              <w:bottom w:val="single" w:color="auto" w:sz="4" w:space="0"/>
            </w:tcBorders>
            <w:noWrap w:val="0"/>
            <w:vAlign w:val="center"/>
          </w:tcPr>
          <w:p>
            <w:pPr>
              <w:pStyle w:val="14"/>
              <w:jc w:val="left"/>
            </w:pPr>
            <w:r>
              <w:rPr>
                <w:rFonts w:hint="eastAsia"/>
              </w:rPr>
              <w:t>≥4GB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6</w:t>
            </w:r>
          </w:p>
        </w:tc>
        <w:tc>
          <w:tcPr>
            <w:tcW w:w="2125" w:type="dxa"/>
            <w:tcBorders>
              <w:top w:val="single" w:color="auto" w:sz="4" w:space="0"/>
              <w:bottom w:val="single" w:color="auto" w:sz="4" w:space="0"/>
            </w:tcBorders>
            <w:noWrap w:val="0"/>
            <w:vAlign w:val="center"/>
          </w:tcPr>
          <w:p>
            <w:pPr>
              <w:pStyle w:val="14"/>
            </w:pPr>
            <w:r>
              <w:rPr>
                <w:rFonts w:hint="eastAsia"/>
              </w:rPr>
              <w:t>存储卡类型</w:t>
            </w:r>
          </w:p>
        </w:tc>
        <w:tc>
          <w:tcPr>
            <w:tcW w:w="5670" w:type="dxa"/>
            <w:tcBorders>
              <w:top w:val="single" w:color="auto" w:sz="4" w:space="0"/>
              <w:bottom w:val="single" w:color="auto" w:sz="4" w:space="0"/>
            </w:tcBorders>
            <w:noWrap w:val="0"/>
            <w:vAlign w:val="center"/>
          </w:tcPr>
          <w:p>
            <w:pPr>
              <w:pStyle w:val="14"/>
              <w:jc w:val="left"/>
            </w:pPr>
            <w:r>
              <w:rPr>
                <w:rFonts w:hint="eastAsia"/>
              </w:rPr>
              <w:t>支持TF卡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7</w:t>
            </w:r>
          </w:p>
        </w:tc>
        <w:tc>
          <w:tcPr>
            <w:tcW w:w="2125" w:type="dxa"/>
            <w:tcBorders>
              <w:top w:val="single" w:color="auto" w:sz="4" w:space="0"/>
              <w:bottom w:val="single" w:color="auto" w:sz="4" w:space="0"/>
            </w:tcBorders>
            <w:noWrap w:val="0"/>
            <w:vAlign w:val="center"/>
          </w:tcPr>
          <w:p>
            <w:pPr>
              <w:pStyle w:val="14"/>
            </w:pPr>
            <w:r>
              <w:rPr>
                <w:rFonts w:hint="eastAsia"/>
              </w:rPr>
              <w:t>视频接口</w:t>
            </w:r>
          </w:p>
        </w:tc>
        <w:tc>
          <w:tcPr>
            <w:tcW w:w="5670" w:type="dxa"/>
            <w:tcBorders>
              <w:top w:val="single" w:color="auto" w:sz="4" w:space="0"/>
              <w:bottom w:val="single" w:color="auto" w:sz="4" w:space="0"/>
            </w:tcBorders>
            <w:noWrap w:val="0"/>
            <w:vAlign w:val="center"/>
          </w:tcPr>
          <w:p>
            <w:pPr>
              <w:pStyle w:val="14"/>
              <w:jc w:val="left"/>
            </w:pPr>
            <w:r>
              <w:rPr>
                <w:rFonts w:hint="eastAsia"/>
              </w:rPr>
              <w:t>HDMI;内置wifi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8</w:t>
            </w:r>
          </w:p>
        </w:tc>
        <w:tc>
          <w:tcPr>
            <w:tcW w:w="2125" w:type="dxa"/>
            <w:tcBorders>
              <w:top w:val="single" w:color="auto" w:sz="4" w:space="0"/>
              <w:bottom w:val="single" w:color="auto" w:sz="4" w:space="0"/>
            </w:tcBorders>
            <w:noWrap w:val="0"/>
            <w:vAlign w:val="center"/>
          </w:tcPr>
          <w:p>
            <w:pPr>
              <w:pStyle w:val="14"/>
            </w:pPr>
            <w:r>
              <w:rPr>
                <w:rFonts w:hint="eastAsia"/>
              </w:rPr>
              <w:t>音频接口</w:t>
            </w:r>
          </w:p>
        </w:tc>
        <w:tc>
          <w:tcPr>
            <w:tcW w:w="5670" w:type="dxa"/>
            <w:tcBorders>
              <w:top w:val="single" w:color="auto" w:sz="4" w:space="0"/>
              <w:bottom w:val="single" w:color="auto" w:sz="4" w:space="0"/>
            </w:tcBorders>
            <w:noWrap w:val="0"/>
            <w:vAlign w:val="center"/>
          </w:tcPr>
          <w:p>
            <w:pPr>
              <w:pStyle w:val="14"/>
              <w:jc w:val="left"/>
            </w:pPr>
            <w:r>
              <w:rPr>
                <w:rFonts w:hint="eastAsia"/>
              </w:rPr>
              <w:t>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9</w:t>
            </w:r>
          </w:p>
        </w:tc>
        <w:tc>
          <w:tcPr>
            <w:tcW w:w="2125" w:type="dxa"/>
            <w:tcBorders>
              <w:top w:val="single" w:color="auto" w:sz="4" w:space="0"/>
              <w:bottom w:val="single" w:color="auto" w:sz="4" w:space="0"/>
            </w:tcBorders>
            <w:noWrap w:val="0"/>
            <w:vAlign w:val="center"/>
          </w:tcPr>
          <w:p>
            <w:pPr>
              <w:pStyle w:val="14"/>
            </w:pPr>
            <w:r>
              <w:rPr>
                <w:rFonts w:hint="eastAsia"/>
              </w:rPr>
              <w:t>其他接口</w:t>
            </w:r>
          </w:p>
        </w:tc>
        <w:tc>
          <w:tcPr>
            <w:tcW w:w="5670" w:type="dxa"/>
            <w:tcBorders>
              <w:top w:val="single" w:color="auto" w:sz="4" w:space="0"/>
              <w:bottom w:val="single" w:color="auto" w:sz="4" w:space="0"/>
            </w:tcBorders>
            <w:noWrap w:val="0"/>
            <w:vAlign w:val="center"/>
          </w:tcPr>
          <w:p>
            <w:pPr>
              <w:pStyle w:val="14"/>
              <w:jc w:val="left"/>
            </w:pPr>
            <w:r>
              <w:rPr>
                <w:rFonts w:hint="eastAsia"/>
              </w:rPr>
              <w:t>USB HOT,USB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8" w:type="dxa"/>
            <w:tcBorders>
              <w:top w:val="single" w:color="auto" w:sz="4" w:space="0"/>
              <w:bottom w:val="single" w:color="auto" w:sz="4" w:space="0"/>
            </w:tcBorders>
            <w:noWrap w:val="0"/>
            <w:vAlign w:val="center"/>
          </w:tcPr>
          <w:p>
            <w:pPr>
              <w:pStyle w:val="14"/>
            </w:pPr>
            <w:r>
              <w:rPr>
                <w:rFonts w:hint="eastAsia"/>
              </w:rPr>
              <w:t>10</w:t>
            </w:r>
          </w:p>
        </w:tc>
        <w:tc>
          <w:tcPr>
            <w:tcW w:w="2125" w:type="dxa"/>
            <w:tcBorders>
              <w:top w:val="single" w:color="auto" w:sz="4" w:space="0"/>
              <w:bottom w:val="single" w:color="auto" w:sz="4" w:space="0"/>
            </w:tcBorders>
            <w:noWrap w:val="0"/>
            <w:vAlign w:val="center"/>
          </w:tcPr>
          <w:p>
            <w:pPr>
              <w:pStyle w:val="14"/>
            </w:pPr>
            <w:r>
              <w:rPr>
                <w:rFonts w:hint="eastAsia"/>
              </w:rPr>
              <w:t>电压</w:t>
            </w:r>
          </w:p>
        </w:tc>
        <w:tc>
          <w:tcPr>
            <w:tcW w:w="5670" w:type="dxa"/>
            <w:tcBorders>
              <w:top w:val="single" w:color="auto" w:sz="4" w:space="0"/>
              <w:bottom w:val="single" w:color="auto" w:sz="4" w:space="0"/>
            </w:tcBorders>
            <w:noWrap w:val="0"/>
            <w:vAlign w:val="center"/>
          </w:tcPr>
          <w:p>
            <w:pPr>
              <w:pStyle w:val="14"/>
              <w:jc w:val="left"/>
            </w:pPr>
            <w:r>
              <w:rPr>
                <w:rFonts w:hint="eastAsia"/>
              </w:rPr>
              <w:t>12V</w:t>
            </w:r>
          </w:p>
        </w:tc>
      </w:tr>
    </w:tbl>
    <w:p>
      <w:pPr>
        <w:pStyle w:val="4"/>
        <w:numPr>
          <w:ilvl w:val="2"/>
          <w:numId w:val="0"/>
        </w:numPr>
        <w:spacing w:before="156" w:after="156"/>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2.</w:t>
      </w:r>
      <w:r>
        <w:rPr>
          <w:rFonts w:hint="eastAsia" w:ascii="方正黑体_GBK" w:hAnsi="方正黑体_GBK" w:eastAsia="方正黑体_GBK" w:cs="方正黑体_GBK"/>
          <w:b w:val="0"/>
          <w:bCs/>
          <w:sz w:val="32"/>
          <w:szCs w:val="32"/>
        </w:rPr>
        <w:t>其他要求</w:t>
      </w:r>
    </w:p>
    <w:p>
      <w:pPr>
        <w:pStyle w:val="5"/>
        <w:numPr>
          <w:ilvl w:val="3"/>
          <w:numId w:val="0"/>
        </w:numPr>
        <w:spacing w:before="156" w:after="156"/>
        <w:ind w:left="549" w:leftChars="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（一）</w:t>
      </w:r>
      <w:r>
        <w:rPr>
          <w:rFonts w:hint="eastAsia" w:ascii="方正楷体_GBK" w:hAnsi="方正楷体_GBK" w:eastAsia="方正楷体_GBK" w:cs="方正楷体_GBK"/>
          <w:b w:val="0"/>
          <w:bCs/>
          <w:sz w:val="32"/>
          <w:szCs w:val="32"/>
        </w:rPr>
        <w:t>系统、设备的安装、调试及上线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spacing w:before="156" w:after="156"/>
        <w:ind w:firstLine="562"/>
        <w:rPr>
          <w:rFonts w:hint="eastAsia" w:ascii="方正楷体_GBK" w:hAnsi="方正楷体_GBK" w:eastAsia="方正楷体_GBK" w:cs="方正楷体_GBK"/>
          <w:b w:val="0"/>
          <w:bCs/>
          <w:snapToGrid w:val="0"/>
          <w:kern w:val="0"/>
          <w:sz w:val="32"/>
          <w:szCs w:val="32"/>
          <w:lang w:val="en-US" w:eastAsia="zh-CN" w:bidi="ar-SA"/>
        </w:rPr>
      </w:pPr>
      <w:r>
        <w:rPr>
          <w:rFonts w:hint="eastAsia" w:ascii="方正楷体_GBK" w:hAnsi="方正楷体_GBK" w:eastAsia="方正楷体_GBK" w:cs="方正楷体_GBK"/>
          <w:b w:val="0"/>
          <w:bCs/>
          <w:snapToGrid w:val="0"/>
          <w:kern w:val="0"/>
          <w:sz w:val="32"/>
          <w:szCs w:val="32"/>
          <w:lang w:val="en-US" w:eastAsia="zh-CN" w:bidi="ar-SA"/>
        </w:rPr>
        <w:t>（二）培训</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1、培训：培训对象包括系统管理员、医院管理人员、操作员，系统管理人员培训内容为系统中涉及的相关技术内容；医院管理人员培训内容为系统流程和相关管理思想；操作员为系统的操作培训。</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2、根据医院的情况制定相关培训方案，课程设置等。包括培训资料、讲义等。</w:t>
      </w:r>
    </w:p>
    <w:p>
      <w:pPr>
        <w:keepNext w:val="0"/>
        <w:keepLines w:val="0"/>
        <w:pageBreakBefore w:val="0"/>
        <w:widowControl w:val="0"/>
        <w:kinsoku/>
        <w:wordWrap/>
        <w:overflowPunct/>
        <w:topLinePunct w:val="0"/>
        <w:autoSpaceDE/>
        <w:autoSpaceDN/>
        <w:bidi w:val="0"/>
        <w:adjustRightInd/>
        <w:snapToGrid/>
        <w:spacing w:line="580" w:lineRule="exact"/>
        <w:ind w:left="42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3、所有的培训费用必须计入投标总价。</w:t>
      </w: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招标项目商务要求；</w:t>
      </w:r>
    </w:p>
    <w:p>
      <w:pPr>
        <w:pStyle w:val="11"/>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1、交货或服务时间、地点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（1）项目工期要求∶必须在合同签订后</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天内完成供货、实施。</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 惠州市第六人民医院内。</w:t>
      </w:r>
    </w:p>
    <w:p>
      <w:pPr>
        <w:pStyle w:val="11"/>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2、验收要求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（1）项目完工后试用</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工作日，招标人人应组织验收工作。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（2）中标人应负责在项目验收前将项目的所有相关软硬件产品，以及有关产品和系统的说明书、安装手册、安装、验收报告等文档交付用户单位才予验收。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（3）中标人应根据系统设计方案提出验收方案和验收文档清单（包含软件功能、实施上线、运行维护等阶段），用户将根据验收方案对系统每个部分逐一进行项目验收。 </w:t>
      </w:r>
    </w:p>
    <w:p>
      <w:pPr>
        <w:pStyle w:val="11"/>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3、售后服务要求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投标人负责对本次项目采购的所有软硬件提供</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年的免费</w:t>
      </w:r>
      <w:r>
        <w:rPr>
          <w:rFonts w:hint="eastAsia" w:ascii="方正仿宋_GBK" w:hAnsi="方正仿宋_GBK" w:eastAsia="方正仿宋_GBK" w:cs="方正仿宋_GBK"/>
          <w:sz w:val="28"/>
          <w:szCs w:val="28"/>
          <w:lang w:eastAsia="zh-CN"/>
        </w:rPr>
        <w:t>质保</w:t>
      </w:r>
      <w:r>
        <w:rPr>
          <w:rFonts w:hint="eastAsia" w:ascii="方正仿宋_GBK" w:hAnsi="方正仿宋_GBK" w:eastAsia="方正仿宋_GBK" w:cs="方正仿宋_GBK"/>
          <w:sz w:val="28"/>
          <w:szCs w:val="28"/>
        </w:rPr>
        <w:t>服务</w:t>
      </w:r>
      <w:r>
        <w:rPr>
          <w:rFonts w:hint="eastAsia" w:ascii="方正仿宋_GBK" w:hAnsi="方正仿宋_GBK" w:eastAsia="方正仿宋_GBK" w:cs="方正仿宋_GBK"/>
          <w:sz w:val="28"/>
          <w:szCs w:val="28"/>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在系统的服务期内，投标方应确保系统的正常使用。在接到用户服务要求后应立即做出回应，并在承诺的服务时间内实施服务。</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outlineLvl w:val="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（1）日常维护</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基础硬件设施维护</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软件维护及升级更新</w:t>
      </w:r>
    </w:p>
    <w:p>
      <w:pPr>
        <w:pStyle w:val="11"/>
        <w:keepNext w:val="0"/>
        <w:keepLines w:val="0"/>
        <w:widowControl/>
        <w:numPr>
          <w:ilvl w:val="0"/>
          <w:numId w:val="7"/>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电话支持及上门技术支持</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提供7X24电话支持服务，8小时内上门技术支持服务，通过电话进行问题答疑、事件排错和上门技术支持等服务。</w:t>
      </w:r>
    </w:p>
    <w:p>
      <w:pPr>
        <w:pStyle w:val="11"/>
        <w:keepNext w:val="0"/>
        <w:keepLines w:val="0"/>
        <w:widowControl/>
        <w:numPr>
          <w:ilvl w:val="0"/>
          <w:numId w:val="7"/>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突发状况支持</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现场工程师能够解决大部分的运维问题，但是遇到一些复杂事件以及一些现场工程师解决有困难的事件，需成立专家组，提供二线全方位支持。</w:t>
      </w:r>
    </w:p>
    <w:p>
      <w:pPr>
        <w:pStyle w:val="11"/>
        <w:keepNext w:val="0"/>
        <w:keepLines w:val="0"/>
        <w:widowControl/>
        <w:numPr>
          <w:ilvl w:val="0"/>
          <w:numId w:val="8"/>
        </w:numPr>
        <w:suppressLineNumbers w:val="0"/>
        <w:spacing w:before="0" w:beforeAutospacing="0" w:after="0" w:afterAutospacing="0"/>
        <w:ind w:leftChars="0"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付款要求</w:t>
      </w:r>
    </w:p>
    <w:p>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合同签订后，在30个工作日内支付合同金额的30%；</w:t>
      </w:r>
    </w:p>
    <w:p>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在本项目设备全部到货签收后支付合同总金额的35%；</w:t>
      </w:r>
    </w:p>
    <w:p>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在本项目通过整体验收后的30个工作日内，支付合同总金额的30%</w:t>
      </w:r>
    </w:p>
    <w:p>
      <w:pPr>
        <w:pStyle w:val="11"/>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在本项目通过整体验收之日起，一年质保期满后，付合同总金额的5%</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采购人不承担因资金不能及时到位给中标人造成的任何损失。</w:t>
      </w:r>
    </w:p>
    <w:p>
      <w:pPr>
        <w:pStyle w:val="11"/>
        <w:keepNext w:val="0"/>
        <w:keepLines w:val="0"/>
        <w:widowControl/>
        <w:numPr>
          <w:ilvl w:val="0"/>
          <w:numId w:val="10"/>
        </w:numPr>
        <w:suppressLineNumbers w:val="0"/>
        <w:spacing w:before="0" w:beforeAutospacing="0" w:after="0" w:afterAutospacing="0"/>
        <w:ind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其他要求</w:t>
      </w:r>
    </w:p>
    <w:p>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现场管理</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中标人在实施全过程中需服从招标人现场代表或监理代表的统一管理和监督检查。</w:t>
      </w:r>
    </w:p>
    <w:p>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安装现在工作和生活条件由中标人自行解决。</w:t>
      </w:r>
    </w:p>
    <w:p>
      <w:pPr>
        <w:pStyle w:val="11"/>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投标人应提供具体的培训方案，包括培训课程内容、计划、安排等。</w:t>
      </w:r>
    </w:p>
    <w:p>
      <w:pPr>
        <w:pStyle w:val="11"/>
        <w:keepNext w:val="0"/>
        <w:keepLines w:val="0"/>
        <w:widowControl/>
        <w:numPr>
          <w:ilvl w:val="0"/>
          <w:numId w:val="0"/>
        </w:numPr>
        <w:suppressLineNumbers w:val="0"/>
        <w:spacing w:before="0" w:beforeAutospacing="0" w:after="0" w:afterAutospacing="0"/>
        <w:ind w:leftChars="0" w:right="0" w:right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6、同意招标方以任何形式对我方投标文件内容及招标方认为有必要的相关资料的真实性和有效性进行审查、验证。</w:t>
      </w: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spacing w:line="360" w:lineRule="auto"/>
        <w:ind w:firstLine="1928" w:firstLineChars="800"/>
        <w:outlineLvl w:val="0"/>
        <w:rPr>
          <w:rFonts w:hint="eastAsia" w:ascii="方正黑体_GBK" w:hAnsi="方正黑体_GBK" w:eastAsia="方正黑体_GBK" w:cs="方正黑体_GBK"/>
          <w:b w:val="0"/>
          <w:bCs/>
          <w:sz w:val="32"/>
          <w:szCs w:val="32"/>
        </w:rPr>
      </w:pPr>
      <w:r>
        <w:rPr>
          <w:rFonts w:hint="eastAsia" w:ascii="仿宋" w:hAnsi="仿宋" w:eastAsia="仿宋" w:cs="仿宋"/>
          <w:b/>
          <w:sz w:val="24"/>
        </w:rPr>
        <w:t xml:space="preserve"> </w:t>
      </w:r>
      <w:r>
        <w:rPr>
          <w:rFonts w:hint="eastAsia" w:ascii="方正黑体_GBK" w:hAnsi="方正黑体_GBK" w:eastAsia="方正黑体_GBK" w:cs="方正黑体_GBK"/>
          <w:b w:val="0"/>
          <w:bCs/>
          <w:sz w:val="32"/>
          <w:szCs w:val="32"/>
        </w:rPr>
        <w:t xml:space="preserve">第三部分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人须知</w:t>
      </w:r>
    </w:p>
    <w:p>
      <w:pPr>
        <w:pStyle w:val="7"/>
        <w:adjustRightInd w:val="0"/>
        <w:snapToGrid w:val="0"/>
        <w:spacing w:line="380" w:lineRule="exact"/>
        <w:outlineLvl w:val="2"/>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一、说  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1、适用范围：本谈判文件适用于本投标邀请中所述项目的采购项目。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2、“采购人”是指：</w:t>
      </w:r>
      <w:r>
        <w:rPr>
          <w:rFonts w:hint="eastAsia" w:ascii="方正仿宋_GBK" w:hAnsi="方正仿宋_GBK" w:eastAsia="方正仿宋_GBK" w:cs="方正仿宋_GBK"/>
          <w:b w:val="0"/>
          <w:bCs w:val="0"/>
          <w:sz w:val="28"/>
          <w:szCs w:val="28"/>
          <w:u w:val="single"/>
        </w:rPr>
        <w:t>惠州市</w:t>
      </w:r>
      <w:r>
        <w:rPr>
          <w:rFonts w:hint="eastAsia" w:ascii="方正仿宋_GBK" w:hAnsi="方正仿宋_GBK" w:eastAsia="方正仿宋_GBK" w:cs="方正仿宋_GBK"/>
          <w:b w:val="0"/>
          <w:bCs w:val="0"/>
          <w:sz w:val="28"/>
          <w:szCs w:val="28"/>
          <w:u w:val="single"/>
          <w:lang w:eastAsia="zh-CN"/>
        </w:rPr>
        <w:t>第六</w:t>
      </w:r>
      <w:r>
        <w:rPr>
          <w:rFonts w:hint="eastAsia" w:ascii="方正仿宋_GBK" w:hAnsi="方正仿宋_GBK" w:eastAsia="方正仿宋_GBK" w:cs="方正仿宋_GBK"/>
          <w:b w:val="0"/>
          <w:bCs w:val="0"/>
          <w:sz w:val="28"/>
          <w:szCs w:val="28"/>
          <w:u w:val="single"/>
        </w:rPr>
        <w:t>人民医院</w:t>
      </w:r>
      <w:r>
        <w:rPr>
          <w:rFonts w:hint="eastAsia" w:ascii="方正仿宋_GBK" w:hAnsi="方正仿宋_GBK" w:eastAsia="方正仿宋_GBK" w:cs="方正仿宋_GBK"/>
          <w:b w:val="0"/>
          <w:bCs w:val="0"/>
          <w:sz w:val="28"/>
          <w:szCs w:val="28"/>
        </w:rPr>
        <w:t>。</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3、合格的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 xml:space="preserve">人是指符合以下条件的： </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（1）符合</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文件“供应商资格”规定要求；</w:t>
      </w:r>
    </w:p>
    <w:p>
      <w:pPr>
        <w:pStyle w:val="7"/>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val="hr-HR"/>
        </w:rPr>
      </w:pPr>
      <w:r>
        <w:rPr>
          <w:rFonts w:hint="eastAsia" w:ascii="方正仿宋_GBK" w:hAnsi="方正仿宋_GBK" w:eastAsia="方正仿宋_GBK" w:cs="方正仿宋_GBK"/>
          <w:b w:val="0"/>
          <w:bCs w:val="0"/>
          <w:kern w:val="0"/>
          <w:sz w:val="28"/>
          <w:szCs w:val="28"/>
        </w:rPr>
        <w:t>（2）</w:t>
      </w:r>
      <w:r>
        <w:rPr>
          <w:rFonts w:hint="eastAsia" w:ascii="方正仿宋_GBK" w:hAnsi="方正仿宋_GBK" w:eastAsia="方正仿宋_GBK" w:cs="方正仿宋_GBK"/>
          <w:b w:val="0"/>
          <w:bCs w:val="0"/>
          <w:sz w:val="28"/>
          <w:szCs w:val="28"/>
          <w:lang w:val="hr-HR"/>
        </w:rPr>
        <w:t>按要求进行了资格预审并通过；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4、“中标人”是指经法定程序确定并授予合同的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5、合格的货物和服务：</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z w:val="28"/>
          <w:szCs w:val="28"/>
        </w:rPr>
        <w:t xml:space="preserve"> “货物”是指</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人制造或组织符合谈判文件要求的货物等。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文件中没有提及</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货物来源地的，根据《政府采购法》的相关规定均应是本国货物。</w:t>
      </w:r>
      <w:r>
        <w:rPr>
          <w:rFonts w:hint="eastAsia" w:ascii="方正仿宋_GBK" w:hAnsi="方正仿宋_GBK" w:eastAsia="方正仿宋_GBK" w:cs="方正仿宋_GBK"/>
          <w:b w:val="0"/>
          <w:bCs w:val="0"/>
          <w:snapToGrid w:val="0"/>
          <w:kern w:val="0"/>
          <w:sz w:val="28"/>
          <w:szCs w:val="28"/>
        </w:rPr>
        <w:t>投标的货物必须是其合法生产的符合国家有关标准要求的货物，并满足我院</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文件规定的规格、参数、质量、价格、有效期、售后服务等要求。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 xml:space="preserve"> “服务”是指除货物和工程以外的采购对象，其中包括：</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人需承担的运输、安装、技术支持、培训以及谈判文件规定的其他服务。</w:t>
      </w:r>
    </w:p>
    <w:p>
      <w:pPr>
        <w:keepNext w:val="0"/>
        <w:keepLines w:val="0"/>
        <w:pageBreakBefore w:val="0"/>
        <w:widowControl w:val="0"/>
        <w:numPr>
          <w:ilvl w:val="0"/>
          <w:numId w:val="12"/>
        </w:numPr>
        <w:kinsoku/>
        <w:wordWrap/>
        <w:overflowPunct/>
        <w:topLinePunct w:val="0"/>
        <w:autoSpaceDE/>
        <w:autoSpaceDN/>
        <w:bidi w:val="0"/>
        <w:spacing w:line="580" w:lineRule="exact"/>
        <w:ind w:firstLine="588" w:firstLineChars="21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人不得恶意竞价。对于报价低于平均报价60%的，评审小组有权要求</w:t>
      </w: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 xml:space="preserve">    如出现两家及以上报价差异巨大（原则上为低于预算价50%的或成倍数下降的），评审小组有权对各报价进行核查判定是否报价合理，有权否决谈判评审项目的预算价并要求重新审计。</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7、无效报价的认定</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（1）报价文件没有有效签署的； </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（2）报价文件不响应评审小组评审时质疑提出的问题，且该问题将可能给采购人造成重大影响的；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（3）报价文件的报价明显过低，可能低于其成本，而投标响应供应商又不能作出合理说明的；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（4）报价文件的总价超出采购预算且采购人不能接受的；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（5）报价文件附有采购人不能接受的条件的；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（6）评审小组认为本次报价不响应谈判文件实质性要求的；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（7）其它评审小组一致认为应作为无效报价的。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8、有以下情形的，将视为</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人互相串通投标，不得报名或投标无效：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人委托同一单位或个人办理投标事宜；</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人的谈判响应文件由同一单位或个人编制；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人的谈判响应文件异常一致或者投标报价呈规律性差异；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人的谈判响应文件相互混装；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（5）法定代表人为同一个人的两个及两个以上法人，母公司、全资子公司及其控股公司或有共同股东组成或主要管理人员中有共同人员的；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响应文件载明的项目管理成员或者联系人为同一人。</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9、谈判人有下列弄虚作假的行为的，不得报名或投标无效：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（1）使用伪造、变造的许可证件；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（2）提供虚假的财务状况或者业绩；</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（3）提供虚假的项目负责人或者主要技术人员简历、劳动关系证明；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（4）提供虚假的信用状况；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（5）其他弄虚作假的行为。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（6）谈判响应文件或报价文件中的签名代签或冒签的；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（7）被授权人委托他人投标，无委托书的。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10、“★”号条款：必须实质响应的条款，</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人不可负偏离，负偏离将导致技术分不得分，评审时认定为废标。“▲”号条款：可以偏离的响应条款，将影响谈判人的技术得分。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响应文件自谈判响应文件接收截止时点起，三个月内有效。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12、以下情形，拒收</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（1）逾期送达；</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（2）未按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文件要求密封。</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13、有下列情形，评审小组将否决其投标：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响应文件未经投标单位盖章和法人或单位负责人签字；</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（2）投标联合体没有提交共同投标协议；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（3）同一</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人提交两个以上不同的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响应文件或者投标报价，谈判文件要求提交备选投标的除外；</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（4）投标报价低于成本或者高于</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最高投标限价的；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响应文件没有对谈判文件的实质性要求和条件作出响应的，评审小组认为明显不符合评审要求的技术规格、技术标准、采购数量；</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（6）谈判人有串通投标、弄虚作假等违法行为的；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（7）谈判响应文件出现雷同内容的；</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（8）开标现场存在争议的。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14、供应商在招投标过程中出现的以下不良行为的，将列入我院黑名单管理，在此后的三年内不得参与我院任何采买活动：</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（1）远低于成本价恶意竞价或提供虚假材料谋求中标/成交的；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（2）采取不正当手段诋毁、排挤其他潜在供应商的；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（3）与其他潜在供应商恶意串通围标的；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（4）近两年内有受到上级行政部门处罚或者存在违法行为的；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（5）随意申请撤换或放弃中标/成交结果的；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（6）中标、成交后无正当理由拒绝或迟迟不签订采购合同的；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（7）中标/成交后，超过合同约定的供货（或服务）时间未按要求执行，给采购人造成损害的；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（8）在谈判采购过程中，与相关部门协商谈判的；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（9）向医院涉及的相关部门行贿或者提供不正当利益的；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（10）拒绝有关部门监督检查或者提供虚假情况的；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（11）无正当理由拒绝履行合同和有关承诺，或擅自变更、中止（终止）采购合同的；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（12）提供假冒伪劣产品或走私物品的；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（13）不遵守开标现场纪律，扰乱评审现场，影响采购活动继续进行的；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（14）开标后擅自撤回采购相应文件，影响采购活动继续进行的；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（15）中标/成交后，擅自将采购合同转包或分包给其他供应商的；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（16）不按招</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响应文件的要求和承诺执行或擅自降低投标/响应承诺的产品质量和售后服务或以次充好、偷工减料的；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（17）实际提供的有关产品性能指标和技术服务能力明显低于采购响应文件或询价、谈判时的承诺的；</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（18）一年内有一次以上投诉查无实据、捏造事实或者提供虚假投诉材料的；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（19）连续两次供应商履约诚信量化评价得分不合格的供应商；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（20）一年内累计达两次报名且未按规定提前一天发函告知不投标的。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人在响应</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文件中必须列出具体数值，如果</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人只注明“差不多”“接近”等不明确表述，或擅自修改谈判文件的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技术、商务等要求的将导致评审小组拒绝其投标。</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招标文件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 招标文件主要由1) 投标邀请书；2) 采购项目内容；3) 投标人须知；</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 在招标过程中由招标采购单位发出的修正和补充文件等。</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r>
        <w:rPr>
          <w:rFonts w:hint="eastAsia" w:ascii="方正仿宋_GBK" w:hAnsi="方正仿宋_GBK" w:eastAsia="方正仿宋_GBK" w:cs="方正仿宋_GBK"/>
          <w:b w:val="0"/>
          <w:bCs w:val="0"/>
          <w:sz w:val="28"/>
          <w:szCs w:val="28"/>
          <w:lang w:eastAsia="zh-CN"/>
        </w:rPr>
        <w:t>。</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 xml:space="preserve">、投标人应在收到招标文件后，仔细阅读，有疑问的应在报名有效工作时间内提出质疑。在规定的时间内未对招标文件要求澄清或提出疑问的，我院将视其为无异议，不再接受对招标文件内容的质疑。 </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、要求响应人报名后应参加投标，报名后不投标的应在投标截止日前一天前致函我院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 xml:space="preserve">说明情况。如未致函说明者，将记不良行为一次，一年累计达两次者将被列入黑名单。 </w:t>
      </w:r>
    </w:p>
    <w:p>
      <w:pPr>
        <w:pStyle w:val="7"/>
        <w:adjustRightInd w:val="0"/>
        <w:snapToGrid w:val="0"/>
        <w:spacing w:line="360" w:lineRule="auto"/>
        <w:rPr>
          <w:rFonts w:hint="eastAsia" w:ascii="仿宋" w:hAnsi="仿宋" w:eastAsia="仿宋" w:cs="仿宋"/>
          <w:sz w:val="24"/>
          <w:szCs w:val="24"/>
        </w:rPr>
      </w:pPr>
      <w:r>
        <w:rPr>
          <w:rFonts w:hint="eastAsia" w:ascii="方正黑体_GBK" w:hAnsi="方正黑体_GBK" w:eastAsia="方正黑体_GBK" w:cs="方正黑体_GBK"/>
          <w:b w:val="0"/>
          <w:bCs w:val="0"/>
          <w:sz w:val="32"/>
          <w:szCs w:val="32"/>
        </w:rPr>
        <w:t xml:space="preserve">三、投标文件的编制和数量 </w:t>
      </w:r>
      <w:r>
        <w:rPr>
          <w:rFonts w:hint="eastAsia" w:ascii="仿宋" w:hAnsi="仿宋" w:eastAsia="仿宋" w:cs="仿宋"/>
          <w:sz w:val="24"/>
          <w:szCs w:val="24"/>
        </w:rPr>
        <w:t xml:space="preserve">   </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1、投标人提交的投标文件（含资格性文件）以及投标人与我院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2、投标文件的构成应符合法律法规及招标文件的要求。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4、投标人应完整、真实、准确的填写招标文件中规定的所有内容。</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5、投标人必须对投标文件所提供的全部资料的真实性承担法律责任，并无条件接受我院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和监督管理小组等对其中任何资料进行核实的要求。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6、如果因为投标人投标文件填报的内容不详，或没有提供招标文件中所要求的全部资料及数据，由此造成的后果，其责任由投标人承担。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7、投标人所提供的货物和服务均应以人民币报价，若同时以人民币及外币报价的，以人民币报价为准。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8、投标总价中不得缺漏招标文件所要求的内容，否则，其投标将可能被视为无效投标。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9、</w:t>
      </w:r>
      <w:r>
        <w:rPr>
          <w:rFonts w:hint="eastAsia" w:ascii="方正仿宋_GBK" w:hAnsi="方正仿宋_GBK" w:eastAsia="方正仿宋_GBK" w:cs="方正仿宋_GBK"/>
          <w:b w:val="0"/>
          <w:bCs w:val="0"/>
          <w:sz w:val="28"/>
          <w:szCs w:val="28"/>
          <w:lang w:eastAsia="zh-CN"/>
        </w:rPr>
        <w:t>投标人应编制投标文件一式六份，其中正本一份和副本五份，投标文件的副本可采用正本的复印件。每套投标文件须清楚地标明“正本”、“副本”。如有疑问或正副本内容不一致的，一切以正本内容为准！</w:t>
      </w:r>
    </w:p>
    <w:p>
      <w:pPr>
        <w:pStyle w:val="7"/>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四、投标文件的递交</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3、投标人所提交的投标文件及附属非原件资料在评标结束后，无论中标与否都不予退还。</w:t>
      </w:r>
    </w:p>
    <w:p>
      <w:pPr>
        <w:pStyle w:val="7"/>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五、开标、评标和定标</w:t>
      </w:r>
    </w:p>
    <w:p>
      <w:pPr>
        <w:pStyle w:val="7"/>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（一）开标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7"/>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（二）评审小组的组成</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评审小组按医院的规定从评审专家库中随机抽取的五名专家组成。评审小组在医院招标监督小组代表的监督下本着公平、公正、科学、择优的原则，严格按照医院的院内招投标实施细则和招标文件的要求进行评审及推荐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7"/>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（三）定 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1、评审小组认为招标文件的内容存在违反国家有关强制性规定的，应当停止评审并向采购办说明情况。</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2、评审小组按照招标文件确定的评标方法、步骤、标准，对投标文件进行评审，提交书面评标报告，按照得分由高到低的优选顺序对投标供应商进行排名。</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3、评审小组按照评审标准在评标报告中确定排名第一的投标人为中标供应商，并在评标报告上签字，对自己的评审意见承担法律责任。</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如出现得分一致的多名第一候选中标人时，由评审小组依据设备性能优越（即技术参数/方案响应最佳）的原则优选中标人。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5、凡发现中标供应商有下列行为之一的，将移交涉监管部门依法处理。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（1）提供虚假材料谋取中标；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（2）采取不正当手段诋毁、排挤其他供应商；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（3）与采购人、其他供应商或者招标工作人员恶意串通；</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（4）向采购人、招标工作人员行贿或者提供其他不正当利益；</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（5）拒绝有关部门监督检查或者提供虚假情况；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（6）向评审小组成员行贿或者提供其他不正当利益；</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（7）中标或者成交后无正当理由拒不与采购人签订采购合同；</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（8）未按照采购文件确定的事项签订采购合同；</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（9）将采购合同转包；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（10）提供假冒伪劣产品；</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（11）擅自变更、中止或者终止采购合同；</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（12）有法律、法规规定的其他损害招标采购机构利益和社会公共利益情形的。</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六</w:t>
      </w:r>
      <w:r>
        <w:rPr>
          <w:rFonts w:hint="default" w:ascii="方正黑体_GBK" w:hAnsi="方正黑体_GBK" w:eastAsia="方正黑体_GBK" w:cs="方正黑体_GBK"/>
          <w:b w:val="0"/>
          <w:bCs w:val="0"/>
          <w:snapToGrid w:val="0"/>
          <w:kern w:val="0"/>
          <w:sz w:val="32"/>
          <w:szCs w:val="32"/>
          <w:lang w:val="en-US" w:eastAsia="zh-CN" w:bidi="ar-SA"/>
        </w:rPr>
        <w:t>、废标条件与处理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在公开招标采购中，出现下列情形之一的，应予废标：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（一）符合专业条件的供应商或者对招标文件作实质响应的供应商不足三家的；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（二）出现影响采购公正的违法、违规行为的；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（三）投标人的报价均超过了采购预算；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（四）因重大变故，采购任务取消的；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（五）投标文件未经投标单位盖章和单位负责人签字。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废标后，除采购任务取消情形外，应当重新组织招标。</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七</w:t>
      </w:r>
      <w:r>
        <w:rPr>
          <w:rFonts w:hint="default" w:ascii="方正黑体_GBK" w:hAnsi="方正黑体_GBK" w:eastAsia="方正黑体_GBK" w:cs="方正黑体_GBK"/>
          <w:b w:val="0"/>
          <w:bCs w:val="0"/>
          <w:snapToGrid w:val="0"/>
          <w:kern w:val="0"/>
          <w:sz w:val="32"/>
          <w:szCs w:val="32"/>
          <w:lang w:val="en-US" w:eastAsia="zh-CN" w:bidi="ar-SA"/>
        </w:rPr>
        <w:t>、公 示</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1、评标完成确定中标人后，</w:t>
      </w:r>
      <w:r>
        <w:rPr>
          <w:rFonts w:hint="eastAsia" w:ascii="方正仿宋_GBK" w:hAnsi="方正仿宋_GBK" w:eastAsia="方正仿宋_GBK" w:cs="方正仿宋_GBK"/>
          <w:b w:val="0"/>
          <w:bCs w:val="0"/>
          <w:snapToGrid w:val="0"/>
          <w:kern w:val="0"/>
          <w:sz w:val="28"/>
          <w:szCs w:val="28"/>
          <w:lang w:val="en-US" w:eastAsia="zh-CN" w:bidi="ar-SA"/>
        </w:rPr>
        <w:t>在我院官网</w:t>
      </w:r>
      <w:r>
        <w:rPr>
          <w:rFonts w:hint="default" w:ascii="方正仿宋_GBK" w:hAnsi="方正仿宋_GBK" w:eastAsia="方正仿宋_GBK" w:cs="方正仿宋_GBK"/>
          <w:b w:val="0"/>
          <w:bCs w:val="0"/>
          <w:snapToGrid w:val="0"/>
          <w:kern w:val="0"/>
          <w:sz w:val="28"/>
          <w:szCs w:val="28"/>
          <w:lang w:val="en-US" w:eastAsia="zh-CN" w:bidi="ar-SA"/>
        </w:rPr>
        <w:t>发布中标公告。</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2、中标公告时间截止未收到投诉或者异议,</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发放中标通知书。</w:t>
      </w:r>
      <w:r>
        <w:rPr>
          <w:rFonts w:hint="eastAsia" w:ascii="方正黑体_GBK" w:hAnsi="方正黑体_GBK" w:eastAsia="方正黑体_GBK" w:cs="方正黑体_GBK"/>
          <w:b w:val="0"/>
          <w:bCs w:val="0"/>
          <w:snapToGrid w:val="0"/>
          <w:kern w:val="0"/>
          <w:sz w:val="32"/>
          <w:szCs w:val="32"/>
          <w:lang w:val="en-US" w:eastAsia="zh-CN" w:bidi="ar-SA"/>
        </w:rPr>
        <w:t>八</w:t>
      </w:r>
      <w:r>
        <w:rPr>
          <w:rFonts w:hint="default" w:ascii="方正黑体_GBK" w:hAnsi="方正黑体_GBK" w:eastAsia="方正黑体_GBK" w:cs="方正黑体_GBK"/>
          <w:b w:val="0"/>
          <w:bCs w:val="0"/>
          <w:snapToGrid w:val="0"/>
          <w:kern w:val="0"/>
          <w:sz w:val="32"/>
          <w:szCs w:val="32"/>
          <w:lang w:val="en-US" w:eastAsia="zh-CN" w:bidi="ar-SA"/>
        </w:rPr>
        <w:t>、质 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1、供应商提出的询问或者质疑，由我院</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受理，并进行答疑等相关工作。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3、质疑人捏造事实、提供虚假材料或者以非法手段取得证明材料进行质疑及无合理根据多次质疑的，都予以驳回，一并列入黑名单。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4、采购办受理质疑后，质疑人书面申请撤回质疑的，应当终止质疑处理程序。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5、不能对同一事项重复质疑。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6、未按规定报名的或未在规定截止时间完成投标的，不得质疑，采购管理办公室不受理其任何质疑。     </w:t>
      </w:r>
    </w:p>
    <w:p>
      <w:pPr>
        <w:pStyle w:val="11"/>
        <w:keepNext w:val="0"/>
        <w:keepLines w:val="0"/>
        <w:widowControl/>
        <w:suppressLineNumbers w:val="0"/>
        <w:spacing w:before="0" w:beforeAutospacing="0" w:after="0" w:afterAutospacing="0"/>
        <w:ind w:left="0" w:right="0" w:firstLine="0"/>
      </w:pPr>
    </w:p>
    <w:p/>
    <w:p>
      <w:pPr>
        <w:numPr>
          <w:ilvl w:val="0"/>
          <w:numId w:val="0"/>
        </w:numPr>
        <w:jc w:val="both"/>
        <w:rPr>
          <w:rFonts w:hint="default"/>
          <w:lang w:val="en-US" w:eastAsia="zh-CN"/>
        </w:rPr>
      </w:pP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E6FE"/>
    <w:multiLevelType w:val="singleLevel"/>
    <w:tmpl w:val="92B2E6FE"/>
    <w:lvl w:ilvl="0" w:tentative="0">
      <w:start w:val="1"/>
      <w:numFmt w:val="chineseCounting"/>
      <w:suff w:val="nothing"/>
      <w:lvlText w:val="%1、"/>
      <w:lvlJc w:val="left"/>
      <w:rPr>
        <w:rFonts w:hint="eastAsia"/>
      </w:rPr>
    </w:lvl>
  </w:abstractNum>
  <w:abstractNum w:abstractNumId="1">
    <w:nsid w:val="C1C20C69"/>
    <w:multiLevelType w:val="singleLevel"/>
    <w:tmpl w:val="C1C20C69"/>
    <w:lvl w:ilvl="0" w:tentative="0">
      <w:start w:val="5"/>
      <w:numFmt w:val="decimal"/>
      <w:lvlText w:val="%1."/>
      <w:lvlJc w:val="left"/>
      <w:pPr>
        <w:tabs>
          <w:tab w:val="left" w:pos="312"/>
        </w:tabs>
      </w:pPr>
    </w:lvl>
  </w:abstractNum>
  <w:abstractNum w:abstractNumId="2">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3">
    <w:nsid w:val="C89743FA"/>
    <w:multiLevelType w:val="singleLevel"/>
    <w:tmpl w:val="C89743FA"/>
    <w:lvl w:ilvl="0" w:tentative="0">
      <w:start w:val="2"/>
      <w:numFmt w:val="decimal"/>
      <w:suff w:val="nothing"/>
      <w:lvlText w:val="（%1）"/>
      <w:lvlJc w:val="left"/>
      <w:rPr>
        <w:rFonts w:hint="default" w:ascii="方正仿宋_GBK" w:hAnsi="方正仿宋_GBK" w:eastAsia="方正仿宋_GBK" w:cs="方正仿宋_GBK"/>
        <w:sz w:val="32"/>
        <w:szCs w:val="32"/>
      </w:rPr>
    </w:lvl>
  </w:abstractNum>
  <w:abstractNum w:abstractNumId="4">
    <w:nsid w:val="F074A7C5"/>
    <w:multiLevelType w:val="singleLevel"/>
    <w:tmpl w:val="F074A7C5"/>
    <w:lvl w:ilvl="0" w:tentative="0">
      <w:start w:val="2"/>
      <w:numFmt w:val="chineseCounting"/>
      <w:suff w:val="nothing"/>
      <w:lvlText w:val="第%1部分　"/>
      <w:lvlJc w:val="left"/>
      <w:rPr>
        <w:rFonts w:hint="eastAsia"/>
      </w:rPr>
    </w:lvl>
  </w:abstractNum>
  <w:abstractNum w:abstractNumId="5">
    <w:nsid w:val="F613B6E0"/>
    <w:multiLevelType w:val="singleLevel"/>
    <w:tmpl w:val="F613B6E0"/>
    <w:lvl w:ilvl="0" w:tentative="0">
      <w:start w:val="1"/>
      <w:numFmt w:val="bullet"/>
      <w:lvlText w:val=""/>
      <w:lvlJc w:val="left"/>
      <w:pPr>
        <w:ind w:left="420" w:hanging="420"/>
      </w:pPr>
      <w:rPr>
        <w:rFonts w:hint="default" w:ascii="Wingdings" w:hAnsi="Wingdings"/>
      </w:rPr>
    </w:lvl>
  </w:abstractNum>
  <w:abstractNum w:abstractNumId="6">
    <w:nsid w:val="F8896876"/>
    <w:multiLevelType w:val="singleLevel"/>
    <w:tmpl w:val="F8896876"/>
    <w:lvl w:ilvl="0" w:tentative="0">
      <w:start w:val="1"/>
      <w:numFmt w:val="decimal"/>
      <w:suff w:val="nothing"/>
      <w:lvlText w:val="（%1）"/>
      <w:lvlJc w:val="left"/>
    </w:lvl>
  </w:abstractNum>
  <w:abstractNum w:abstractNumId="7">
    <w:nsid w:val="272975D6"/>
    <w:multiLevelType w:val="singleLevel"/>
    <w:tmpl w:val="272975D6"/>
    <w:lvl w:ilvl="0" w:tentative="0">
      <w:start w:val="4"/>
      <w:numFmt w:val="decimal"/>
      <w:suff w:val="nothing"/>
      <w:lvlText w:val="%1、"/>
      <w:lvlJc w:val="left"/>
    </w:lvl>
  </w:abstractNum>
  <w:abstractNum w:abstractNumId="8">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3"/>
      <w:lvlText w:val="%2."/>
      <w:lvlJc w:val="left"/>
      <w:rPr>
        <w:rFonts w:hint="eastAsia" w:cs="Times New Roman"/>
      </w:rPr>
    </w:lvl>
    <w:lvl w:ilvl="2" w:tentative="0">
      <w:start w:val="1"/>
      <w:numFmt w:val="decimal"/>
      <w:pStyle w:val="4"/>
      <w:isLgl/>
      <w:lvlText w:val="%2.%3."/>
      <w:lvlJc w:val="left"/>
      <w:rPr>
        <w:rFonts w:hint="eastAsia" w:cs="Times New Roman"/>
      </w:rPr>
    </w:lvl>
    <w:lvl w:ilvl="3" w:tentative="0">
      <w:start w:val="1"/>
      <w:numFmt w:val="decimal"/>
      <w:pStyle w:val="5"/>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9">
    <w:nsid w:val="53BE6FC0"/>
    <w:multiLevelType w:val="multilevel"/>
    <w:tmpl w:val="53BE6FC0"/>
    <w:lvl w:ilvl="0" w:tentative="0">
      <w:start w:val="1"/>
      <w:numFmt w:val="decimal"/>
      <w:pStyle w:val="6"/>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0">
    <w:nsid w:val="575CABA0"/>
    <w:multiLevelType w:val="singleLevel"/>
    <w:tmpl w:val="575CABA0"/>
    <w:lvl w:ilvl="0" w:tentative="0">
      <w:start w:val="6"/>
      <w:numFmt w:val="decimal"/>
      <w:suff w:val="nothing"/>
      <w:lvlText w:val="%1、"/>
      <w:lvlJc w:val="left"/>
    </w:lvl>
  </w:abstractNum>
  <w:abstractNum w:abstractNumId="11">
    <w:nsid w:val="5F3B6425"/>
    <w:multiLevelType w:val="singleLevel"/>
    <w:tmpl w:val="5F3B6425"/>
    <w:lvl w:ilvl="0" w:tentative="0">
      <w:start w:val="1"/>
      <w:numFmt w:val="decimal"/>
      <w:suff w:val="nothing"/>
      <w:lvlText w:val="（%1）"/>
      <w:lvlJc w:val="left"/>
    </w:lvl>
  </w:abstractNum>
  <w:num w:numId="1">
    <w:abstractNumId w:val="8"/>
  </w:num>
  <w:num w:numId="2">
    <w:abstractNumId w:val="9"/>
  </w:num>
  <w:num w:numId="3">
    <w:abstractNumId w:val="2"/>
  </w:num>
  <w:num w:numId="4">
    <w:abstractNumId w:val="4"/>
  </w:num>
  <w:num w:numId="5">
    <w:abstractNumId w:val="0"/>
  </w:num>
  <w:num w:numId="6">
    <w:abstractNumId w:val="5"/>
  </w:num>
  <w:num w:numId="7">
    <w:abstractNumId w:val="3"/>
  </w:num>
  <w:num w:numId="8">
    <w:abstractNumId w:val="7"/>
  </w:num>
  <w:num w:numId="9">
    <w:abstractNumId w:val="11"/>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3895B62"/>
    <w:rsid w:val="14047793"/>
    <w:rsid w:val="29DF3921"/>
    <w:rsid w:val="2F587767"/>
    <w:rsid w:val="5DA0206F"/>
    <w:rsid w:val="6A6177EF"/>
    <w:rsid w:val="6B0142C7"/>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kern w:val="0"/>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9"/>
    <w:pPr>
      <w:keepNext/>
      <w:keepLines/>
      <w:numPr>
        <w:ilvl w:val="1"/>
        <w:numId w:val="1"/>
      </w:numPr>
      <w:spacing w:beforeLines="50" w:afterLines="50"/>
      <w:ind w:firstLine="0"/>
      <w:outlineLvl w:val="1"/>
    </w:pPr>
    <w:rPr>
      <w:b/>
      <w:kern w:val="0"/>
      <w:sz w:val="28"/>
      <w:szCs w:val="20"/>
    </w:rPr>
  </w:style>
  <w:style w:type="paragraph" w:styleId="4">
    <w:name w:val="heading 3"/>
    <w:basedOn w:val="1"/>
    <w:next w:val="1"/>
    <w:qFormat/>
    <w:uiPriority w:val="9"/>
    <w:pPr>
      <w:keepNext/>
      <w:keepLines/>
      <w:numPr>
        <w:ilvl w:val="2"/>
        <w:numId w:val="1"/>
      </w:numPr>
      <w:spacing w:beforeLines="50" w:afterLines="50"/>
      <w:ind w:firstLine="0"/>
      <w:outlineLvl w:val="2"/>
    </w:pPr>
    <w:rPr>
      <w:b/>
      <w:kern w:val="0"/>
      <w:sz w:val="28"/>
      <w:szCs w:val="20"/>
    </w:rPr>
  </w:style>
  <w:style w:type="paragraph" w:styleId="5">
    <w:name w:val="heading 4"/>
    <w:basedOn w:val="1"/>
    <w:next w:val="1"/>
    <w:qFormat/>
    <w:uiPriority w:val="9"/>
    <w:pPr>
      <w:keepNext/>
      <w:keepLines/>
      <w:numPr>
        <w:ilvl w:val="3"/>
        <w:numId w:val="1"/>
      </w:numPr>
      <w:spacing w:beforeLines="50" w:afterLines="50"/>
      <w:ind w:firstLine="0"/>
      <w:outlineLvl w:val="3"/>
    </w:pPr>
    <w:rPr>
      <w:b/>
      <w:kern w:val="0"/>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numPr>
        <w:ilvl w:val="0"/>
        <w:numId w:val="2"/>
      </w:numPr>
      <w:tabs>
        <w:tab w:val="clear" w:pos="839"/>
      </w:tabs>
      <w:spacing w:after="120"/>
      <w:ind w:left="0" w:firstLine="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No Spacing"/>
    <w:qFormat/>
    <w:uiPriority w:val="1"/>
    <w:pPr>
      <w:widowControl w:val="0"/>
      <w:jc w:val="center"/>
    </w:pPr>
    <w:rPr>
      <w:rFonts w:ascii="Times New Roman" w:hAnsi="Times New Roman" w:eastAsia="宋体" w:cs="Times New Roman"/>
      <w:sz w:val="21"/>
      <w:lang w:val="en-US" w:eastAsia="zh-CN" w:bidi="ar-SA"/>
    </w:rPr>
  </w:style>
  <w:style w:type="paragraph" w:customStyle="1" w:styleId="15">
    <w:name w:val="列出段落1"/>
    <w:basedOn w:val="1"/>
    <w:qFormat/>
    <w:uiPriority w:val="34"/>
    <w:pPr>
      <w:ind w:firstLine="420"/>
    </w:pPr>
    <w:rPr>
      <w:rFonts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2021-08-31T00:00:00Z</dcterms:created>
  <dc:creator>(*❦ω❦豪）</dc:creator>
  <cp:lastModifiedBy>Administrator</cp:lastModifiedBy>
  <cp:lastPrinted>2021-09-18T03:27:00Z</cp:lastPrinted>
  <dcterms:modified xsi:type="dcterms:W3CDTF">2021-09-24T03:12:10Z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80A42FCC1C81486F9A53B7709AE83692</vt:lpwstr>
  </property>
</Properties>
</file>