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jc w:val="center"/>
        <w:rPr>
          <w:rFonts w:ascii="方正小标宋_GBK" w:hAnsi="方正小标宋_GBK" w:eastAsia="方正小标宋_GBK" w:cs="方正小标宋_GBK"/>
          <w:snapToGrid w:val="0"/>
          <w:sz w:val="84"/>
          <w:szCs w:val="84"/>
          <w:highlight w:val="none"/>
        </w:rPr>
      </w:pPr>
      <w:r>
        <w:rPr>
          <w:rFonts w:ascii="方正小标宋_GBK" w:hAnsi="方正小标宋_GBK" w:eastAsia="方正小标宋_GBK" w:cs="方正小标宋_GBK"/>
          <w:snapToGrid w:val="0"/>
          <w:sz w:val="84"/>
          <w:szCs w:val="84"/>
          <w:highlight w:val="none"/>
        </w:rPr>
        <w:t>惠州市第六人民医院</w:t>
      </w:r>
    </w:p>
    <w:p>
      <w:pPr>
        <w:autoSpaceDE/>
        <w:autoSpaceDN/>
        <w:jc w:val="center"/>
        <w:rPr>
          <w:rFonts w:ascii="方正小标宋_GBK" w:hAnsi="方正小标宋_GBK" w:eastAsia="方正小标宋_GBK" w:cs="方正小标宋_GBK"/>
          <w:snapToGrid w:val="0"/>
          <w:sz w:val="84"/>
          <w:szCs w:val="84"/>
          <w:highlight w:val="none"/>
        </w:rPr>
      </w:pPr>
      <w:r>
        <w:rPr>
          <w:rFonts w:ascii="方正小标宋_GBK" w:hAnsi="方正小标宋_GBK" w:eastAsia="方正小标宋_GBK" w:cs="方正小标宋_GBK"/>
          <w:snapToGrid w:val="0"/>
          <w:sz w:val="84"/>
          <w:szCs w:val="84"/>
          <w:highlight w:val="none"/>
        </w:rPr>
        <w:t>院内招标文件</w:t>
      </w:r>
    </w:p>
    <w:p>
      <w:pPr>
        <w:pStyle w:val="11"/>
        <w:ind w:left="0"/>
        <w:rPr>
          <w:rFonts w:ascii="PMingLiU"/>
          <w:sz w:val="100"/>
          <w:highlight w:val="none"/>
        </w:rPr>
      </w:pPr>
    </w:p>
    <w:p>
      <w:pPr>
        <w:pStyle w:val="11"/>
        <w:spacing w:before="9"/>
        <w:ind w:left="0"/>
        <w:rPr>
          <w:rFonts w:ascii="PMingLiU"/>
          <w:sz w:val="93"/>
          <w:highlight w:val="none"/>
        </w:rPr>
      </w:pPr>
    </w:p>
    <w:p>
      <w:pPr>
        <w:autoSpaceDE/>
        <w:autoSpaceDN/>
        <w:ind w:left="2420" w:leftChars="1100"/>
        <w:rPr>
          <w:rFonts w:hint="default" w:ascii="方正黑体_GBK" w:hAnsi="方正黑体_GBK" w:eastAsia="方正黑体_GBK" w:cs="方正黑体_GBK"/>
          <w:snapToGrid w:val="0"/>
          <w:sz w:val="32"/>
          <w:szCs w:val="32"/>
          <w:highlight w:val="none"/>
          <w:lang w:val="en-US" w:eastAsia="zh-CN"/>
        </w:rPr>
      </w:pPr>
      <w:r>
        <w:rPr>
          <w:rFonts w:ascii="方正黑体_GBK" w:hAnsi="方正黑体_GBK" w:eastAsia="方正黑体_GBK" w:cs="方正黑体_GBK"/>
          <w:snapToGrid w:val="0"/>
          <w:sz w:val="32"/>
          <w:szCs w:val="32"/>
          <w:highlight w:val="none"/>
        </w:rPr>
        <w:t>文件编号：</w:t>
      </w:r>
      <w:r>
        <w:rPr>
          <w:rFonts w:hint="eastAsia" w:ascii="方正黑体_GBK" w:hAnsi="方正黑体_GBK" w:eastAsia="方正黑体_GBK" w:cs="方正黑体_GBK"/>
          <w:snapToGrid w:val="0"/>
          <w:sz w:val="32"/>
          <w:szCs w:val="32"/>
          <w:highlight w:val="none"/>
          <w:lang w:val="en-US" w:eastAsia="zh-CN"/>
        </w:rPr>
        <w:t>FW-KF-20220217-1</w:t>
      </w:r>
    </w:p>
    <w:p>
      <w:pPr>
        <w:autoSpaceDE/>
        <w:autoSpaceDN/>
        <w:ind w:left="2420" w:leftChars="1100"/>
        <w:rPr>
          <w:rFonts w:ascii="方正黑体_GBK" w:hAnsi="方正黑体_GBK" w:eastAsia="方正黑体_GBK" w:cs="方正黑体_GBK"/>
          <w:snapToGrid w:val="0"/>
          <w:sz w:val="32"/>
          <w:szCs w:val="32"/>
          <w:highlight w:val="none"/>
        </w:rPr>
      </w:pPr>
      <w:r>
        <w:rPr>
          <w:rFonts w:ascii="方正黑体_GBK" w:hAnsi="方正黑体_GBK" w:eastAsia="方正黑体_GBK" w:cs="方正黑体_GBK"/>
          <w:snapToGrid w:val="0"/>
          <w:sz w:val="32"/>
          <w:szCs w:val="32"/>
          <w:highlight w:val="none"/>
        </w:rPr>
        <w:t>采购项目：</w:t>
      </w:r>
      <w:r>
        <w:rPr>
          <w:rFonts w:hint="eastAsia" w:ascii="方正黑体_GBK" w:hAnsi="方正黑体_GBK" w:eastAsia="方正黑体_GBK" w:cs="方正黑体_GBK"/>
          <w:snapToGrid w:val="0"/>
          <w:sz w:val="32"/>
          <w:szCs w:val="32"/>
          <w:highlight w:val="none"/>
        </w:rPr>
        <w:t>第三方满意度调查委托服务项目</w:t>
      </w:r>
    </w:p>
    <w:p>
      <w:pPr>
        <w:autoSpaceDE/>
        <w:autoSpaceDN/>
        <w:ind w:left="2420" w:leftChars="1100"/>
        <w:rPr>
          <w:rFonts w:ascii="方正黑体_GBK" w:hAnsi="方正黑体_GBK" w:eastAsia="方正黑体_GBK" w:cs="方正黑体_GBK"/>
          <w:snapToGrid w:val="0"/>
          <w:sz w:val="32"/>
          <w:szCs w:val="32"/>
          <w:highlight w:val="none"/>
        </w:rPr>
      </w:pPr>
      <w:r>
        <w:rPr>
          <w:rFonts w:ascii="方正黑体_GBK" w:hAnsi="方正黑体_GBK" w:eastAsia="方正黑体_GBK" w:cs="方正黑体_GBK"/>
          <w:snapToGrid w:val="0"/>
          <w:sz w:val="32"/>
          <w:szCs w:val="32"/>
          <w:highlight w:val="none"/>
        </w:rPr>
        <w:t>采购项目办公室：</w:t>
      </w:r>
      <w:r>
        <w:rPr>
          <w:rFonts w:hint="eastAsia" w:ascii="方正黑体_GBK" w:hAnsi="方正黑体_GBK" w:eastAsia="方正黑体_GBK" w:cs="方正黑体_GBK"/>
          <w:snapToGrid w:val="0"/>
          <w:sz w:val="32"/>
          <w:szCs w:val="32"/>
          <w:highlight w:val="none"/>
        </w:rPr>
        <w:t>客户服务</w:t>
      </w:r>
      <w:r>
        <w:rPr>
          <w:rFonts w:ascii="方正黑体_GBK" w:hAnsi="方正黑体_GBK" w:eastAsia="方正黑体_GBK" w:cs="方正黑体_GBK"/>
          <w:snapToGrid w:val="0"/>
          <w:sz w:val="32"/>
          <w:szCs w:val="32"/>
          <w:highlight w:val="none"/>
        </w:rPr>
        <w:t xml:space="preserve">部 </w:t>
      </w:r>
    </w:p>
    <w:p>
      <w:pPr>
        <w:autoSpaceDE/>
        <w:autoSpaceDN/>
        <w:ind w:left="2420" w:leftChars="1100" w:firstLine="960" w:firstLineChars="300"/>
        <w:rPr>
          <w:rFonts w:hint="eastAsia" w:ascii="方正黑体_GBK" w:hAnsi="方正黑体_GBK" w:eastAsia="方正黑体_GBK" w:cs="方正黑体_GBK"/>
          <w:snapToGrid w:val="0"/>
          <w:sz w:val="32"/>
          <w:szCs w:val="32"/>
          <w:highlight w:val="none"/>
        </w:rPr>
      </w:pPr>
      <w:r>
        <w:rPr>
          <w:rFonts w:hint="eastAsia" w:ascii="方正黑体_GBK" w:hAnsi="方正黑体_GBK" w:eastAsia="方正黑体_GBK" w:cs="方正黑体_GBK"/>
          <w:snapToGrid w:val="0"/>
          <w:sz w:val="32"/>
          <w:szCs w:val="32"/>
          <w:highlight w:val="none"/>
        </w:rPr>
        <w:t xml:space="preserve">2022 年 05 月 </w:t>
      </w:r>
      <w:r>
        <w:rPr>
          <w:rFonts w:hint="eastAsia" w:ascii="方正黑体_GBK" w:hAnsi="方正黑体_GBK" w:eastAsia="方正黑体_GBK" w:cs="方正黑体_GBK"/>
          <w:snapToGrid w:val="0"/>
          <w:sz w:val="32"/>
          <w:szCs w:val="32"/>
          <w:highlight w:val="none"/>
          <w:lang w:val="en-US" w:eastAsia="zh-CN"/>
        </w:rPr>
        <w:t>31</w:t>
      </w:r>
      <w:r>
        <w:rPr>
          <w:rFonts w:hint="eastAsia" w:ascii="方正黑体_GBK" w:hAnsi="方正黑体_GBK" w:eastAsia="方正黑体_GBK" w:cs="方正黑体_GBK"/>
          <w:snapToGrid w:val="0"/>
          <w:sz w:val="32"/>
          <w:szCs w:val="32"/>
          <w:highlight w:val="none"/>
        </w:rPr>
        <w:t xml:space="preserve"> 日</w:t>
      </w:r>
    </w:p>
    <w:p>
      <w:pPr>
        <w:spacing w:line="364" w:lineRule="auto"/>
        <w:ind w:left="4392" w:right="632" w:hanging="1599"/>
        <w:jc w:val="both"/>
        <w:rPr>
          <w:b/>
          <w:bCs/>
          <w:color w:val="333333"/>
          <w:spacing w:val="-2"/>
          <w:sz w:val="32"/>
          <w:highlight w:val="none"/>
        </w:rPr>
        <w:sectPr>
          <w:footerReference r:id="rId3" w:type="default"/>
          <w:type w:val="continuous"/>
          <w:pgSz w:w="11910" w:h="16840"/>
          <w:pgMar w:top="1580" w:right="1000" w:bottom="280" w:left="1080" w:header="720" w:footer="720" w:gutter="0"/>
          <w:cols w:space="720" w:num="1"/>
        </w:sectPr>
      </w:pPr>
    </w:p>
    <w:p>
      <w:pPr>
        <w:pageBreakBefore/>
        <w:autoSpaceDE/>
        <w:autoSpaceDN/>
        <w:jc w:val="center"/>
        <w:rPr>
          <w:rFonts w:ascii="方正黑体_GBK" w:hAnsi="方正黑体_GBK" w:eastAsia="方正黑体_GBK" w:cs="方正黑体_GBK"/>
          <w:b/>
          <w:bCs/>
          <w:snapToGrid w:val="0"/>
          <w:sz w:val="72"/>
          <w:szCs w:val="72"/>
          <w:highlight w:val="none"/>
        </w:rPr>
      </w:pPr>
      <w:r>
        <w:rPr>
          <w:rFonts w:ascii="方正黑体_GBK" w:hAnsi="方正黑体_GBK" w:eastAsia="方正黑体_GBK" w:cs="方正黑体_GBK"/>
          <w:b/>
          <w:bCs/>
          <w:snapToGrid w:val="0"/>
          <w:sz w:val="72"/>
          <w:szCs w:val="72"/>
          <w:highlight w:val="none"/>
        </w:rPr>
        <w:t>目</w:t>
      </w:r>
      <w:r>
        <w:rPr>
          <w:rFonts w:ascii="方正黑体_GBK" w:hAnsi="方正黑体_GBK" w:eastAsia="方正黑体_GBK" w:cs="方正黑体_GBK"/>
          <w:b/>
          <w:bCs/>
          <w:snapToGrid w:val="0"/>
          <w:sz w:val="72"/>
          <w:szCs w:val="72"/>
          <w:highlight w:val="none"/>
        </w:rPr>
        <w:tab/>
      </w:r>
      <w:r>
        <w:rPr>
          <w:rFonts w:ascii="方正黑体_GBK" w:hAnsi="方正黑体_GBK" w:eastAsia="方正黑体_GBK" w:cs="方正黑体_GBK"/>
          <w:b/>
          <w:bCs/>
          <w:snapToGrid w:val="0"/>
          <w:sz w:val="72"/>
          <w:szCs w:val="72"/>
          <w:highlight w:val="none"/>
        </w:rPr>
        <w:t>录</w:t>
      </w:r>
    </w:p>
    <w:p>
      <w:pPr>
        <w:rPr>
          <w:highlight w:val="none"/>
        </w:rPr>
      </w:pPr>
    </w:p>
    <w:p>
      <w:pPr>
        <w:rPr>
          <w:highlight w:val="none"/>
        </w:rPr>
      </w:pPr>
    </w:p>
    <w:p>
      <w:pPr>
        <w:rPr>
          <w:highlight w:val="none"/>
        </w:rPr>
      </w:pPr>
    </w:p>
    <w:p>
      <w:pPr>
        <w:pStyle w:val="11"/>
        <w:spacing w:before="6"/>
        <w:ind w:left="0"/>
        <w:rPr>
          <w:rFonts w:ascii="Microsoft JhengHei"/>
          <w:b/>
          <w:sz w:val="42"/>
          <w:highlight w:val="none"/>
        </w:rPr>
      </w:pPr>
    </w:p>
    <w:p>
      <w:pPr>
        <w:pStyle w:val="15"/>
        <w:tabs>
          <w:tab w:val="right" w:leader="dot" w:pos="9174"/>
        </w:tabs>
        <w:spacing w:line="480" w:lineRule="auto"/>
        <w:rPr>
          <w:rFonts w:ascii="方正黑体_GBK" w:hAnsi="方正黑体_GBK" w:eastAsia="方正黑体_GBK" w:cs="方正黑体_GBK"/>
          <w:b/>
          <w:bCs/>
          <w:snapToGrid w:val="0"/>
          <w:kern w:val="0"/>
          <w:sz w:val="44"/>
          <w:szCs w:val="44"/>
          <w:highlight w:val="none"/>
        </w:rPr>
      </w:pPr>
      <w:r>
        <w:rPr>
          <w:rFonts w:ascii="方正黑体_GBK" w:hAnsi="方正黑体_GBK" w:eastAsia="方正黑体_GBK" w:cs="方正黑体_GBK"/>
          <w:b/>
          <w:bCs/>
          <w:snapToGrid w:val="0"/>
          <w:kern w:val="0"/>
          <w:sz w:val="44"/>
          <w:szCs w:val="44"/>
          <w:highlight w:val="none"/>
        </w:rPr>
        <w:t>第一部分</w:t>
      </w:r>
      <w:r>
        <w:rPr>
          <w:rFonts w:hint="eastAsia" w:ascii="方正黑体_GBK" w:hAnsi="方正黑体_GBK" w:eastAsia="方正黑体_GBK" w:cs="方正黑体_GBK"/>
          <w:b/>
          <w:bCs/>
          <w:snapToGrid w:val="0"/>
          <w:kern w:val="0"/>
          <w:sz w:val="44"/>
          <w:szCs w:val="44"/>
          <w:highlight w:val="none"/>
        </w:rPr>
        <w:t xml:space="preserve"> </w:t>
      </w:r>
      <w:r>
        <w:rPr>
          <w:rFonts w:ascii="方正黑体_GBK" w:hAnsi="方正黑体_GBK" w:eastAsia="方正黑体_GBK" w:cs="方正黑体_GBK"/>
          <w:b/>
          <w:bCs/>
          <w:snapToGrid w:val="0"/>
          <w:kern w:val="0"/>
          <w:sz w:val="44"/>
          <w:szCs w:val="44"/>
          <w:highlight w:val="none"/>
        </w:rPr>
        <w:t xml:space="preserve"> 投标邀请函 </w:t>
      </w:r>
    </w:p>
    <w:p>
      <w:pPr>
        <w:spacing w:line="480" w:lineRule="auto"/>
        <w:rPr>
          <w:highlight w:val="none"/>
        </w:rPr>
      </w:pPr>
    </w:p>
    <w:p>
      <w:pPr>
        <w:pStyle w:val="15"/>
        <w:tabs>
          <w:tab w:val="right" w:leader="dot" w:pos="9174"/>
        </w:tabs>
        <w:spacing w:line="480" w:lineRule="auto"/>
        <w:rPr>
          <w:rFonts w:ascii="方正黑体_GBK" w:hAnsi="方正黑体_GBK" w:eastAsia="方正黑体_GBK" w:cs="方正黑体_GBK"/>
          <w:b/>
          <w:bCs/>
          <w:snapToGrid w:val="0"/>
          <w:kern w:val="0"/>
          <w:sz w:val="44"/>
          <w:szCs w:val="44"/>
          <w:highlight w:val="none"/>
        </w:rPr>
      </w:pPr>
      <w:r>
        <w:rPr>
          <w:rFonts w:ascii="方正黑体_GBK" w:hAnsi="方正黑体_GBK" w:eastAsia="方正黑体_GBK" w:cs="方正黑体_GBK"/>
          <w:b/>
          <w:bCs/>
          <w:snapToGrid w:val="0"/>
          <w:kern w:val="0"/>
          <w:sz w:val="44"/>
          <w:szCs w:val="44"/>
          <w:highlight w:val="none"/>
        </w:rPr>
        <w:t>第二部分</w:t>
      </w:r>
      <w:r>
        <w:rPr>
          <w:rFonts w:hint="eastAsia" w:ascii="方正黑体_GBK" w:hAnsi="方正黑体_GBK" w:eastAsia="方正黑体_GBK" w:cs="方正黑体_GBK"/>
          <w:b/>
          <w:bCs/>
          <w:snapToGrid w:val="0"/>
          <w:kern w:val="0"/>
          <w:sz w:val="44"/>
          <w:szCs w:val="44"/>
          <w:highlight w:val="none"/>
        </w:rPr>
        <w:t xml:space="preserve"> </w:t>
      </w:r>
      <w:r>
        <w:rPr>
          <w:rFonts w:ascii="方正黑体_GBK" w:hAnsi="方正黑体_GBK" w:eastAsia="方正黑体_GBK" w:cs="方正黑体_GBK"/>
          <w:b/>
          <w:bCs/>
          <w:snapToGrid w:val="0"/>
          <w:kern w:val="0"/>
          <w:sz w:val="44"/>
          <w:szCs w:val="44"/>
          <w:highlight w:val="none"/>
        </w:rPr>
        <w:t xml:space="preserve"> 采购项目内容</w:t>
      </w:r>
    </w:p>
    <w:p>
      <w:pPr>
        <w:spacing w:line="480" w:lineRule="auto"/>
        <w:rPr>
          <w:highlight w:val="none"/>
        </w:rPr>
      </w:pPr>
    </w:p>
    <w:p>
      <w:pPr>
        <w:pStyle w:val="15"/>
        <w:tabs>
          <w:tab w:val="right" w:leader="dot" w:pos="9174"/>
        </w:tabs>
        <w:spacing w:line="480" w:lineRule="auto"/>
        <w:rPr>
          <w:rFonts w:ascii="方正黑体_GBK" w:hAnsi="方正黑体_GBK" w:eastAsia="方正黑体_GBK" w:cs="方正黑体_GBK"/>
          <w:b/>
          <w:bCs/>
          <w:snapToGrid w:val="0"/>
          <w:kern w:val="0"/>
          <w:sz w:val="44"/>
          <w:szCs w:val="44"/>
          <w:highlight w:val="none"/>
        </w:rPr>
      </w:pPr>
      <w:r>
        <w:rPr>
          <w:rFonts w:ascii="方正黑体_GBK" w:hAnsi="方正黑体_GBK" w:eastAsia="方正黑体_GBK" w:cs="方正黑体_GBK"/>
          <w:b/>
          <w:bCs/>
          <w:snapToGrid w:val="0"/>
          <w:kern w:val="0"/>
          <w:sz w:val="44"/>
          <w:szCs w:val="44"/>
          <w:highlight w:val="none"/>
        </w:rPr>
        <w:t>第三部分</w:t>
      </w:r>
      <w:r>
        <w:rPr>
          <w:rFonts w:hint="eastAsia" w:ascii="方正黑体_GBK" w:hAnsi="方正黑体_GBK" w:eastAsia="方正黑体_GBK" w:cs="方正黑体_GBK"/>
          <w:b/>
          <w:bCs/>
          <w:snapToGrid w:val="0"/>
          <w:kern w:val="0"/>
          <w:sz w:val="44"/>
          <w:szCs w:val="44"/>
          <w:highlight w:val="none"/>
        </w:rPr>
        <w:t xml:space="preserve"> </w:t>
      </w:r>
      <w:r>
        <w:rPr>
          <w:rFonts w:ascii="方正黑体_GBK" w:hAnsi="方正黑体_GBK" w:eastAsia="方正黑体_GBK" w:cs="方正黑体_GBK"/>
          <w:b/>
          <w:bCs/>
          <w:snapToGrid w:val="0"/>
          <w:kern w:val="0"/>
          <w:sz w:val="44"/>
          <w:szCs w:val="44"/>
          <w:highlight w:val="none"/>
        </w:rPr>
        <w:t xml:space="preserve"> 投标人须知</w:t>
      </w:r>
    </w:p>
    <w:p>
      <w:pPr>
        <w:rPr>
          <w:rFonts w:ascii="Microsoft JhengHei" w:eastAsiaTheme="minorEastAsia"/>
          <w:b/>
          <w:spacing w:val="-4"/>
          <w:sz w:val="44"/>
          <w:highlight w:val="none"/>
        </w:rPr>
      </w:pPr>
      <w:r>
        <w:rPr>
          <w:rFonts w:ascii="Microsoft JhengHei" w:eastAsiaTheme="minorEastAsia"/>
          <w:b/>
          <w:spacing w:val="-4"/>
          <w:sz w:val="44"/>
          <w:highlight w:val="none"/>
        </w:rPr>
        <w:br w:type="page"/>
      </w:r>
    </w:p>
    <w:p>
      <w:pPr>
        <w:autoSpaceDE/>
        <w:autoSpaceDN/>
        <w:spacing w:line="360" w:lineRule="auto"/>
        <w:jc w:val="center"/>
        <w:outlineLvl w:val="0"/>
        <w:rPr>
          <w:rFonts w:ascii="方正黑体_GBK" w:hAnsi="方正黑体_GBK" w:eastAsia="方正黑体_GBK" w:cs="方正黑体_GBK"/>
          <w:bCs/>
          <w:snapToGrid w:val="0"/>
          <w:sz w:val="32"/>
          <w:szCs w:val="32"/>
          <w:highlight w:val="none"/>
        </w:rPr>
      </w:pPr>
      <w:r>
        <w:rPr>
          <w:rFonts w:ascii="方正黑体_GBK" w:hAnsi="方正黑体_GBK" w:eastAsia="方正黑体_GBK" w:cs="方正黑体_GBK"/>
          <w:bCs/>
          <w:snapToGrid w:val="0"/>
          <w:sz w:val="32"/>
          <w:szCs w:val="32"/>
          <w:highlight w:val="none"/>
        </w:rPr>
        <w:t>第一部分 投标邀请函</w:t>
      </w:r>
    </w:p>
    <w:p>
      <w:pPr>
        <w:autoSpaceDE/>
        <w:autoSpaceDN/>
        <w:spacing w:line="360" w:lineRule="auto"/>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各（潜在）供应商:</w:t>
      </w:r>
    </w:p>
    <w:p>
      <w:pPr>
        <w:autoSpaceDE/>
        <w:autoSpaceDN/>
        <w:spacing w:line="580" w:lineRule="exact"/>
        <w:ind w:firstLine="640" w:firstLineChars="200"/>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惠州市第六人民医院因</w:t>
      </w:r>
      <w:r>
        <w:rPr>
          <w:rFonts w:hint="eastAsia" w:ascii="方正仿宋_GBK" w:hAnsi="方正仿宋_GBK" w:eastAsia="方正仿宋_GBK" w:cs="方正仿宋_GBK"/>
          <w:snapToGrid w:val="0"/>
          <w:sz w:val="32"/>
          <w:szCs w:val="32"/>
          <w:highlight w:val="none"/>
        </w:rPr>
        <w:t>服务改进提升</w:t>
      </w:r>
      <w:r>
        <w:rPr>
          <w:rFonts w:ascii="方正仿宋_GBK" w:hAnsi="方正仿宋_GBK" w:eastAsia="方正仿宋_GBK" w:cs="方正仿宋_GBK"/>
          <w:snapToGrid w:val="0"/>
          <w:sz w:val="32"/>
          <w:szCs w:val="32"/>
          <w:highlight w:val="none"/>
        </w:rPr>
        <w:t>需要，计划对</w:t>
      </w:r>
      <w:r>
        <w:rPr>
          <w:rFonts w:hint="eastAsia" w:ascii="方正仿宋_GBK" w:hAnsi="方正仿宋_GBK" w:eastAsia="方正仿宋_GBK" w:cs="方正仿宋_GBK"/>
          <w:snapToGrid w:val="0"/>
          <w:sz w:val="32"/>
          <w:szCs w:val="32"/>
          <w:highlight w:val="none"/>
        </w:rPr>
        <w:t>2</w:t>
      </w:r>
      <w:r>
        <w:rPr>
          <w:rFonts w:ascii="方正仿宋_GBK" w:hAnsi="方正仿宋_GBK" w:eastAsia="方正仿宋_GBK" w:cs="方正仿宋_GBK"/>
          <w:snapToGrid w:val="0"/>
          <w:sz w:val="32"/>
          <w:szCs w:val="32"/>
          <w:highlight w:val="none"/>
        </w:rPr>
        <w:t>022</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2025</w:t>
      </w:r>
      <w:r>
        <w:rPr>
          <w:rFonts w:hint="eastAsia" w:ascii="方正仿宋_GBK" w:hAnsi="方正仿宋_GBK" w:eastAsia="方正仿宋_GBK" w:cs="方正仿宋_GBK"/>
          <w:snapToGrid w:val="0"/>
          <w:sz w:val="32"/>
          <w:szCs w:val="32"/>
          <w:highlight w:val="none"/>
        </w:rPr>
        <w:t>年第三方满意度调查</w:t>
      </w:r>
      <w:r>
        <w:rPr>
          <w:rFonts w:ascii="方正仿宋_GBK" w:hAnsi="方正仿宋_GBK" w:eastAsia="方正仿宋_GBK" w:cs="方正仿宋_GBK"/>
          <w:snapToGrid w:val="0"/>
          <w:sz w:val="32"/>
          <w:szCs w:val="32"/>
          <w:highlight w:val="none"/>
        </w:rPr>
        <w:t>项目进行院内招标采购，欢迎符合资质条件的供应商报名投标。</w:t>
      </w:r>
    </w:p>
    <w:p>
      <w:pPr>
        <w:spacing w:line="580" w:lineRule="exact"/>
        <w:ind w:left="-431" w:firstLine="640" w:firstLineChars="200"/>
        <w:jc w:val="both"/>
        <w:outlineLvl w:val="1"/>
        <w:rPr>
          <w:rFonts w:ascii="方正仿宋_GBK" w:hAnsi="方正仿宋_GBK" w:eastAsia="方正仿宋_GBK" w:cs="方正仿宋_GBK"/>
          <w:snapToGrid w:val="0"/>
          <w:sz w:val="32"/>
          <w:szCs w:val="32"/>
          <w:highlight w:val="none"/>
          <w:lang w:val="zh-CN"/>
        </w:rPr>
      </w:pPr>
      <w:r>
        <w:rPr>
          <w:rFonts w:ascii="方正仿宋_GBK" w:hAnsi="方正仿宋_GBK" w:eastAsia="方正仿宋_GBK" w:cs="方正仿宋_GBK"/>
          <w:snapToGrid w:val="0"/>
          <w:sz w:val="32"/>
          <w:szCs w:val="32"/>
          <w:highlight w:val="none"/>
          <w:lang w:val="zh-CN"/>
        </w:rPr>
        <w:t>一、文件编号：</w:t>
      </w:r>
      <w:r>
        <w:rPr>
          <w:rFonts w:hint="eastAsia" w:ascii="方正仿宋_GBK" w:hAnsi="方正仿宋_GBK" w:eastAsia="方正仿宋_GBK" w:cs="方正仿宋_GBK"/>
          <w:snapToGrid w:val="0"/>
          <w:sz w:val="32"/>
          <w:szCs w:val="32"/>
          <w:highlight w:val="none"/>
          <w:lang w:val="en-US" w:eastAsia="zh-CN"/>
        </w:rPr>
        <w:t>FW-KF-20220217-1</w:t>
      </w:r>
    </w:p>
    <w:p>
      <w:pPr>
        <w:spacing w:line="580" w:lineRule="exact"/>
        <w:ind w:left="-431" w:firstLine="640" w:firstLineChars="200"/>
        <w:jc w:val="both"/>
        <w:outlineLvl w:val="1"/>
        <w:rPr>
          <w:rFonts w:ascii="方正仿宋_GBK" w:hAnsi="方正仿宋_GBK" w:eastAsia="方正仿宋_GBK" w:cs="方正仿宋_GBK"/>
          <w:snapToGrid w:val="0"/>
          <w:sz w:val="32"/>
          <w:szCs w:val="32"/>
          <w:highlight w:val="none"/>
          <w:lang w:val="zh-CN"/>
        </w:rPr>
      </w:pPr>
      <w:r>
        <w:rPr>
          <w:rFonts w:ascii="方正仿宋_GBK" w:hAnsi="方正仿宋_GBK" w:eastAsia="方正仿宋_GBK" w:cs="方正仿宋_GBK"/>
          <w:snapToGrid w:val="0"/>
          <w:sz w:val="32"/>
          <w:szCs w:val="32"/>
          <w:highlight w:val="none"/>
          <w:lang w:val="zh-CN"/>
        </w:rPr>
        <w:t>二、采购服务名称：</w:t>
      </w:r>
      <w:r>
        <w:rPr>
          <w:rFonts w:hint="eastAsia" w:ascii="方正仿宋_GBK" w:hAnsi="方正仿宋_GBK" w:eastAsia="方正仿宋_GBK" w:cs="方正仿宋_GBK"/>
          <w:snapToGrid w:val="0"/>
          <w:sz w:val="32"/>
          <w:szCs w:val="32"/>
          <w:highlight w:val="none"/>
        </w:rPr>
        <w:t>第三方满意度调查委托服务项目</w:t>
      </w:r>
    </w:p>
    <w:p>
      <w:pPr>
        <w:spacing w:line="580" w:lineRule="exact"/>
        <w:ind w:left="-431" w:firstLine="640" w:firstLineChars="200"/>
        <w:jc w:val="both"/>
        <w:outlineLvl w:val="1"/>
        <w:rPr>
          <w:rFonts w:ascii="方正仿宋_GBK" w:hAnsi="方正仿宋_GBK" w:eastAsia="方正仿宋_GBK" w:cs="方正仿宋_GBK"/>
          <w:snapToGrid w:val="0"/>
          <w:sz w:val="32"/>
          <w:szCs w:val="32"/>
          <w:highlight w:val="none"/>
          <w:lang w:val="zh-CN"/>
        </w:rPr>
      </w:pPr>
      <w:r>
        <w:rPr>
          <w:rFonts w:ascii="方正仿宋_GBK" w:hAnsi="方正仿宋_GBK" w:eastAsia="方正仿宋_GBK" w:cs="方正仿宋_GBK"/>
          <w:snapToGrid w:val="0"/>
          <w:sz w:val="32"/>
          <w:szCs w:val="32"/>
          <w:highlight w:val="none"/>
          <w:lang w:val="zh-CN"/>
        </w:rPr>
        <w:t>三、采购预算：</w:t>
      </w:r>
    </w:p>
    <w:p>
      <w:pPr>
        <w:pStyle w:val="11"/>
        <w:spacing w:before="8"/>
        <w:ind w:left="0"/>
        <w:rPr>
          <w:rFonts w:ascii="仿宋" w:hAnsi="仿宋" w:eastAsia="仿宋"/>
          <w:sz w:val="26"/>
          <w:highlight w:val="none"/>
        </w:rPr>
      </w:pPr>
    </w:p>
    <w:tbl>
      <w:tblPr>
        <w:tblStyle w:val="24"/>
        <w:tblW w:w="9423" w:type="dxa"/>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23"/>
        <w:gridCol w:w="779"/>
        <w:gridCol w:w="728"/>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5223" w:type="dxa"/>
          </w:tcPr>
          <w:p>
            <w:pPr>
              <w:widowControl/>
              <w:autoSpaceDE/>
              <w:autoSpaceDN/>
              <w:spacing w:line="340" w:lineRule="exact"/>
              <w:jc w:val="center"/>
              <w:rPr>
                <w:rFonts w:ascii="方正仿宋_GBK" w:hAnsi="方正仿宋_GBK" w:eastAsia="方正仿宋_GBK" w:cs="方正仿宋_GBK"/>
                <w:snapToGrid w:val="0"/>
                <w:sz w:val="32"/>
                <w:szCs w:val="32"/>
                <w:highlight w:val="none"/>
              </w:rPr>
            </w:pPr>
          </w:p>
          <w:p>
            <w:pPr>
              <w:widowControl/>
              <w:autoSpaceDE/>
              <w:autoSpaceDN/>
              <w:spacing w:line="340" w:lineRule="exact"/>
              <w:jc w:val="center"/>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服务名称</w:t>
            </w:r>
          </w:p>
        </w:tc>
        <w:tc>
          <w:tcPr>
            <w:tcW w:w="779" w:type="dxa"/>
          </w:tcPr>
          <w:p>
            <w:pPr>
              <w:widowControl/>
              <w:autoSpaceDE/>
              <w:autoSpaceDN/>
              <w:spacing w:line="340" w:lineRule="exact"/>
              <w:jc w:val="center"/>
              <w:rPr>
                <w:rFonts w:ascii="方正仿宋_GBK" w:hAnsi="方正仿宋_GBK" w:eastAsia="方正仿宋_GBK" w:cs="方正仿宋_GBK"/>
                <w:snapToGrid w:val="0"/>
                <w:sz w:val="32"/>
                <w:szCs w:val="32"/>
                <w:highlight w:val="none"/>
              </w:rPr>
            </w:pPr>
          </w:p>
          <w:p>
            <w:pPr>
              <w:widowControl/>
              <w:autoSpaceDE/>
              <w:autoSpaceDN/>
              <w:spacing w:line="340" w:lineRule="exact"/>
              <w:jc w:val="center"/>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数量</w:t>
            </w:r>
          </w:p>
        </w:tc>
        <w:tc>
          <w:tcPr>
            <w:tcW w:w="728" w:type="dxa"/>
          </w:tcPr>
          <w:p>
            <w:pPr>
              <w:widowControl/>
              <w:autoSpaceDE/>
              <w:autoSpaceDN/>
              <w:spacing w:line="340" w:lineRule="exact"/>
              <w:jc w:val="center"/>
              <w:rPr>
                <w:rFonts w:ascii="方正仿宋_GBK" w:hAnsi="方正仿宋_GBK" w:eastAsia="方正仿宋_GBK" w:cs="方正仿宋_GBK"/>
                <w:snapToGrid w:val="0"/>
                <w:sz w:val="32"/>
                <w:szCs w:val="32"/>
                <w:highlight w:val="none"/>
              </w:rPr>
            </w:pPr>
          </w:p>
          <w:p>
            <w:pPr>
              <w:widowControl/>
              <w:autoSpaceDE/>
              <w:autoSpaceDN/>
              <w:spacing w:line="340" w:lineRule="exact"/>
              <w:jc w:val="center"/>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单位</w:t>
            </w:r>
          </w:p>
        </w:tc>
        <w:tc>
          <w:tcPr>
            <w:tcW w:w="2693" w:type="dxa"/>
          </w:tcPr>
          <w:p>
            <w:pPr>
              <w:widowControl/>
              <w:autoSpaceDE/>
              <w:autoSpaceDN/>
              <w:spacing w:line="340" w:lineRule="exact"/>
              <w:jc w:val="center"/>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总总额</w:t>
            </w:r>
          </w:p>
          <w:p>
            <w:pPr>
              <w:widowControl/>
              <w:autoSpaceDE/>
              <w:autoSpaceDN/>
              <w:spacing w:line="340" w:lineRule="exact"/>
              <w:jc w:val="center"/>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223" w:type="dxa"/>
            <w:vAlign w:val="center"/>
          </w:tcPr>
          <w:p>
            <w:pPr>
              <w:widowControl/>
              <w:autoSpaceDE/>
              <w:autoSpaceDN/>
              <w:spacing w:line="340" w:lineRule="exact"/>
              <w:jc w:val="center"/>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第三方满意度调查委托服务项目</w:t>
            </w:r>
          </w:p>
        </w:tc>
        <w:tc>
          <w:tcPr>
            <w:tcW w:w="779" w:type="dxa"/>
            <w:vAlign w:val="center"/>
          </w:tcPr>
          <w:p>
            <w:pPr>
              <w:widowControl/>
              <w:autoSpaceDE/>
              <w:autoSpaceDN/>
              <w:spacing w:line="340" w:lineRule="exact"/>
              <w:jc w:val="center"/>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3</w:t>
            </w:r>
            <w:r>
              <w:rPr>
                <w:rFonts w:hint="eastAsia" w:ascii="方正仿宋_GBK" w:hAnsi="方正仿宋_GBK" w:eastAsia="方正仿宋_GBK" w:cs="方正仿宋_GBK"/>
                <w:snapToGrid w:val="0"/>
                <w:sz w:val="32"/>
                <w:szCs w:val="32"/>
                <w:highlight w:val="none"/>
              </w:rPr>
              <w:t>年</w:t>
            </w:r>
          </w:p>
        </w:tc>
        <w:tc>
          <w:tcPr>
            <w:tcW w:w="728" w:type="dxa"/>
            <w:vAlign w:val="center"/>
          </w:tcPr>
          <w:p>
            <w:pPr>
              <w:widowControl/>
              <w:autoSpaceDE/>
              <w:autoSpaceDN/>
              <w:spacing w:line="340" w:lineRule="exact"/>
              <w:jc w:val="center"/>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项</w:t>
            </w:r>
          </w:p>
        </w:tc>
        <w:tc>
          <w:tcPr>
            <w:tcW w:w="2693" w:type="dxa"/>
            <w:vAlign w:val="center"/>
          </w:tcPr>
          <w:p>
            <w:pPr>
              <w:widowControl/>
              <w:autoSpaceDE/>
              <w:autoSpaceDN/>
              <w:spacing w:line="340" w:lineRule="exact"/>
              <w:jc w:val="center"/>
              <w:rPr>
                <w:rFonts w:hint="default" w:ascii="方正仿宋_GBK" w:hAnsi="方正仿宋_GBK" w:eastAsia="方正仿宋_GBK" w:cs="方正仿宋_GBK"/>
                <w:snapToGrid w:val="0"/>
                <w:sz w:val="32"/>
                <w:szCs w:val="32"/>
                <w:highlight w:val="none"/>
                <w:lang w:val="en-US" w:eastAsia="zh-CN"/>
              </w:rPr>
            </w:pPr>
            <w:r>
              <w:rPr>
                <w:rFonts w:hint="eastAsia" w:ascii="方正仿宋_GBK" w:hAnsi="方正仿宋_GBK" w:eastAsia="方正仿宋_GBK" w:cs="方正仿宋_GBK"/>
                <w:snapToGrid w:val="0"/>
                <w:sz w:val="32"/>
                <w:szCs w:val="32"/>
                <w:highlight w:val="none"/>
                <w:lang w:val="en-US" w:eastAsia="zh-CN"/>
              </w:rPr>
              <w:t>475800</w:t>
            </w:r>
          </w:p>
        </w:tc>
      </w:tr>
    </w:tbl>
    <w:p>
      <w:pPr>
        <w:autoSpaceDE/>
        <w:autoSpaceDN/>
        <w:spacing w:line="580" w:lineRule="exact"/>
        <w:ind w:firstLine="640" w:firstLineChars="200"/>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详细技术规范请参阅招标文件中的采购项目内容。供应商必须对项目内全部内容进行报价，如有缺漏或超过采购预算，将导致报价无效。</w:t>
      </w:r>
    </w:p>
    <w:p>
      <w:pPr>
        <w:spacing w:line="580" w:lineRule="exact"/>
        <w:ind w:left="-431" w:firstLine="640" w:firstLineChars="200"/>
        <w:jc w:val="both"/>
        <w:outlineLvl w:val="1"/>
        <w:rPr>
          <w:rFonts w:ascii="方正仿宋_GBK" w:hAnsi="方正仿宋_GBK" w:eastAsia="方正仿宋_GBK" w:cs="方正仿宋_GBK"/>
          <w:snapToGrid w:val="0"/>
          <w:sz w:val="32"/>
          <w:szCs w:val="32"/>
          <w:highlight w:val="none"/>
          <w:lang w:val="zh-CN"/>
        </w:rPr>
      </w:pPr>
      <w:r>
        <w:rPr>
          <w:rFonts w:ascii="方正仿宋_GBK" w:hAnsi="方正仿宋_GBK" w:eastAsia="方正仿宋_GBK" w:cs="方正仿宋_GBK"/>
          <w:snapToGrid w:val="0"/>
          <w:sz w:val="32"/>
          <w:szCs w:val="32"/>
          <w:highlight w:val="none"/>
          <w:lang w:val="zh-CN"/>
        </w:rPr>
        <w:t>四、</w:t>
      </w:r>
      <w:r>
        <w:rPr>
          <w:rFonts w:hint="eastAsia" w:ascii="方正仿宋_GBK" w:hAnsi="方正仿宋_GBK" w:eastAsia="方正仿宋_GBK" w:cs="方正仿宋_GBK"/>
          <w:snapToGrid w:val="0"/>
          <w:sz w:val="32"/>
          <w:szCs w:val="32"/>
          <w:highlight w:val="none"/>
          <w:lang w:val="zh-CN"/>
        </w:rPr>
        <w:t>供应商资格要求：</w:t>
      </w:r>
      <w:r>
        <w:rPr>
          <w:rFonts w:ascii="方正仿宋_GBK" w:hAnsi="方正仿宋_GBK" w:eastAsia="方正仿宋_GBK" w:cs="方正仿宋_GBK"/>
          <w:snapToGrid w:val="0"/>
          <w:sz w:val="32"/>
          <w:szCs w:val="32"/>
          <w:highlight w:val="none"/>
          <w:lang w:val="zh-CN"/>
        </w:rPr>
        <w:t xml:space="preserve"> </w:t>
      </w:r>
    </w:p>
    <w:p>
      <w:pPr>
        <w:autoSpaceDE/>
        <w:autoSpaceDN/>
        <w:spacing w:line="580" w:lineRule="exact"/>
        <w:ind w:firstLine="640" w:firstLineChars="200"/>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1、在中国境内注册，在法律上、财务上独立，合法运作并独立于采购人的具有独立承担民事责任能力的法人、其他组织或自然人（提供营业执照等证明文件）</w:t>
      </w:r>
    </w:p>
    <w:p>
      <w:pPr>
        <w:autoSpaceDE/>
        <w:autoSpaceDN/>
        <w:spacing w:line="580" w:lineRule="exact"/>
        <w:ind w:firstLine="640" w:firstLineChars="200"/>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w:t>
      </w:r>
      <w:r>
        <w:rPr>
          <w:rFonts w:hint="eastAsia" w:ascii="方正仿宋_GBK" w:hAnsi="方正仿宋_GBK" w:eastAsia="方正仿宋_GBK" w:cs="方正仿宋_GBK"/>
          <w:snapToGrid w:val="0"/>
          <w:sz w:val="32"/>
          <w:szCs w:val="32"/>
          <w:highlight w:val="none"/>
        </w:rPr>
        <w:t>不接受联合投标体投标以及对本项目进行分包和转包</w:t>
      </w:r>
      <w:r>
        <w:rPr>
          <w:rFonts w:ascii="方正仿宋_GBK" w:hAnsi="方正仿宋_GBK" w:eastAsia="方正仿宋_GBK" w:cs="方正仿宋_GBK"/>
          <w:snapToGrid w:val="0"/>
          <w:sz w:val="32"/>
          <w:szCs w:val="32"/>
          <w:highlight w:val="none"/>
        </w:rPr>
        <w:t>；</w:t>
      </w:r>
    </w:p>
    <w:p>
      <w:pPr>
        <w:autoSpaceDE/>
        <w:autoSpaceDN/>
        <w:spacing w:line="580" w:lineRule="exact"/>
        <w:ind w:firstLine="640" w:firstLineChars="200"/>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3、单位负责人为同一人或者存在控股、管理关系的不同单位，不得参加同一招标项目包投标（投标人出具声明函）</w:t>
      </w:r>
    </w:p>
    <w:p>
      <w:pPr>
        <w:autoSpaceDE/>
        <w:autoSpaceDN/>
        <w:spacing w:line="580" w:lineRule="exact"/>
        <w:ind w:firstLine="640" w:firstLineChars="200"/>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4、</w:t>
      </w:r>
      <w:r>
        <w:rPr>
          <w:rFonts w:hint="eastAsia" w:ascii="方正仿宋_GBK" w:hAnsi="方正仿宋_GBK" w:eastAsia="方正仿宋_GBK" w:cs="方正仿宋_GBK"/>
          <w:snapToGrid w:val="0"/>
          <w:sz w:val="32"/>
          <w:szCs w:val="32"/>
          <w:highlight w:val="none"/>
        </w:rPr>
        <w:t>在“信用中国”网站（</w:t>
      </w:r>
      <w:r>
        <w:rPr>
          <w:rFonts w:ascii="方正仿宋_GBK" w:hAnsi="方正仿宋_GBK" w:eastAsia="方正仿宋_GBK" w:cs="方正仿宋_GBK"/>
          <w:snapToGrid w:val="0"/>
          <w:sz w:val="32"/>
          <w:szCs w:val="32"/>
          <w:highlight w:val="none"/>
        </w:rPr>
        <w:t>www.credichina.gov.cn）、中国政府采购网（www.ccgp.gov.cn）没有被列入失信被执行人、重大税收违法案件当事人名单、政府采购严重违法失信行为记录名单及其它不符合规定条件的供应商；</w:t>
      </w:r>
    </w:p>
    <w:p>
      <w:pPr>
        <w:autoSpaceDE/>
        <w:autoSpaceDN/>
        <w:spacing w:line="580" w:lineRule="exact"/>
        <w:ind w:firstLine="640" w:firstLineChars="200"/>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5、已报名并获取本次招标文件。</w:t>
      </w:r>
    </w:p>
    <w:p>
      <w:pPr>
        <w:autoSpaceDE/>
        <w:autoSpaceDN/>
        <w:spacing w:line="580" w:lineRule="exact"/>
        <w:ind w:firstLine="640" w:firstLineChars="200"/>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五、</w:t>
      </w:r>
      <w:r>
        <w:rPr>
          <w:rFonts w:ascii="方正仿宋_GBK" w:hAnsi="方正仿宋_GBK" w:eastAsia="方正仿宋_GBK" w:cs="方正仿宋_GBK"/>
          <w:snapToGrid w:val="0"/>
          <w:sz w:val="32"/>
          <w:szCs w:val="32"/>
          <w:highlight w:val="none"/>
        </w:rPr>
        <w:t>拟参加谈判的供应商应当在202</w:t>
      </w:r>
      <w:r>
        <w:rPr>
          <w:rFonts w:hint="eastAsia" w:ascii="方正仿宋_GBK" w:hAnsi="方正仿宋_GBK" w:eastAsia="方正仿宋_GBK" w:cs="方正仿宋_GBK"/>
          <w:snapToGrid w:val="0"/>
          <w:sz w:val="32"/>
          <w:szCs w:val="32"/>
          <w:highlight w:val="none"/>
          <w:lang w:val="en-US" w:eastAsia="zh-CN"/>
        </w:rPr>
        <w:t>2</w:t>
      </w:r>
      <w:r>
        <w:rPr>
          <w:rFonts w:ascii="方正仿宋_GBK" w:hAnsi="方正仿宋_GBK" w:eastAsia="方正仿宋_GBK" w:cs="方正仿宋_GBK"/>
          <w:snapToGrid w:val="0"/>
          <w:sz w:val="32"/>
          <w:szCs w:val="32"/>
          <w:highlight w:val="none"/>
        </w:rPr>
        <w:t>年</w:t>
      </w:r>
      <w:r>
        <w:rPr>
          <w:rFonts w:hint="eastAsia" w:ascii="方正仿宋_GBK" w:hAnsi="方正仿宋_GBK" w:eastAsia="方正仿宋_GBK" w:cs="方正仿宋_GBK"/>
          <w:snapToGrid w:val="0"/>
          <w:sz w:val="32"/>
          <w:szCs w:val="32"/>
          <w:highlight w:val="none"/>
          <w:lang w:val="en-US" w:eastAsia="zh-CN"/>
        </w:rPr>
        <w:t>6月1</w:t>
      </w:r>
      <w:r>
        <w:rPr>
          <w:rFonts w:ascii="方正仿宋_GBK" w:hAnsi="方正仿宋_GBK" w:eastAsia="方正仿宋_GBK" w:cs="方正仿宋_GBK"/>
          <w:snapToGrid w:val="0"/>
          <w:sz w:val="32"/>
          <w:szCs w:val="32"/>
          <w:highlight w:val="none"/>
        </w:rPr>
        <w:t>日起至202</w:t>
      </w:r>
      <w:r>
        <w:rPr>
          <w:rFonts w:hint="eastAsia" w:ascii="方正仿宋_GBK" w:hAnsi="方正仿宋_GBK" w:eastAsia="方正仿宋_GBK" w:cs="方正仿宋_GBK"/>
          <w:snapToGrid w:val="0"/>
          <w:sz w:val="32"/>
          <w:szCs w:val="32"/>
          <w:highlight w:val="none"/>
          <w:lang w:val="en-US" w:eastAsia="zh-CN"/>
        </w:rPr>
        <w:t>2</w:t>
      </w:r>
      <w:r>
        <w:rPr>
          <w:rFonts w:ascii="方正仿宋_GBK" w:hAnsi="方正仿宋_GBK" w:eastAsia="方正仿宋_GBK" w:cs="方正仿宋_GBK"/>
          <w:snapToGrid w:val="0"/>
          <w:sz w:val="32"/>
          <w:szCs w:val="32"/>
          <w:highlight w:val="none"/>
        </w:rPr>
        <w:t xml:space="preserve">年 </w:t>
      </w:r>
      <w:r>
        <w:rPr>
          <w:rFonts w:hint="eastAsia" w:ascii="方正仿宋_GBK" w:hAnsi="方正仿宋_GBK" w:eastAsia="方正仿宋_GBK" w:cs="方正仿宋_GBK"/>
          <w:snapToGrid w:val="0"/>
          <w:sz w:val="32"/>
          <w:szCs w:val="32"/>
          <w:highlight w:val="none"/>
          <w:lang w:val="en-US" w:eastAsia="zh-CN"/>
        </w:rPr>
        <w:t>6</w:t>
      </w:r>
      <w:r>
        <w:rPr>
          <w:rFonts w:ascii="方正仿宋_GBK" w:hAnsi="方正仿宋_GBK" w:eastAsia="方正仿宋_GBK" w:cs="方正仿宋_GBK"/>
          <w:snapToGrid w:val="0"/>
          <w:sz w:val="32"/>
          <w:szCs w:val="32"/>
          <w:highlight w:val="none"/>
        </w:rPr>
        <w:t>月</w:t>
      </w:r>
      <w:r>
        <w:rPr>
          <w:rFonts w:hint="eastAsia" w:ascii="方正仿宋_GBK" w:hAnsi="方正仿宋_GBK" w:eastAsia="方正仿宋_GBK" w:cs="方正仿宋_GBK"/>
          <w:snapToGrid w:val="0"/>
          <w:sz w:val="32"/>
          <w:szCs w:val="32"/>
          <w:highlight w:val="none"/>
          <w:lang w:val="en-US" w:eastAsia="zh-CN"/>
        </w:rPr>
        <w:t>8</w:t>
      </w:r>
      <w:r>
        <w:rPr>
          <w:rFonts w:ascii="方正仿宋_GBK" w:hAnsi="方正仿宋_GBK" w:eastAsia="方正仿宋_GBK" w:cs="方正仿宋_GBK"/>
          <w:snapToGrid w:val="0"/>
          <w:sz w:val="32"/>
          <w:szCs w:val="32"/>
          <w:highlight w:val="none"/>
        </w:rPr>
        <w:t>日（周六日除外）上午08:00-12:00、下午14:30-17:30</w:t>
      </w:r>
      <w:r>
        <w:rPr>
          <w:rFonts w:hint="eastAsia" w:ascii="方正仿宋_GBK" w:hAnsi="方正仿宋_GBK" w:eastAsia="方正仿宋_GBK" w:cs="方正仿宋_GBK"/>
          <w:sz w:val="32"/>
          <w:szCs w:val="32"/>
          <w:highlight w:val="none"/>
        </w:rPr>
        <w:t>到</w:t>
      </w:r>
      <w:r>
        <w:rPr>
          <w:rFonts w:hint="eastAsia" w:ascii="方正仿宋_GBK" w:hAnsi="方正仿宋_GBK" w:eastAsia="方正仿宋_GBK" w:cs="方正仿宋_GBK"/>
          <w:sz w:val="32"/>
          <w:szCs w:val="32"/>
          <w:highlight w:val="none"/>
          <w:lang w:val="zh-CN"/>
        </w:rPr>
        <w:t>惠州市第六人民医院</w:t>
      </w:r>
      <w:r>
        <w:rPr>
          <w:rFonts w:hint="eastAsia" w:ascii="方正仿宋_GBK" w:hAnsi="方正仿宋_GBK" w:eastAsia="方正仿宋_GBK" w:cs="方正仿宋_GBK"/>
          <w:sz w:val="32"/>
          <w:szCs w:val="32"/>
          <w:highlight w:val="none"/>
          <w:lang w:val="zh-CN" w:eastAsia="zh-CN"/>
        </w:rPr>
        <w:t>客服部</w:t>
      </w:r>
      <w:r>
        <w:rPr>
          <w:rFonts w:ascii="方正仿宋_GBK" w:hAnsi="方正仿宋_GBK" w:eastAsia="方正仿宋_GBK" w:cs="方正仿宋_GBK"/>
          <w:snapToGrid w:val="0"/>
          <w:sz w:val="32"/>
          <w:szCs w:val="32"/>
          <w:highlight w:val="none"/>
        </w:rPr>
        <w:t>，文件请自行在挂网招标公告中下载附件。</w:t>
      </w:r>
    </w:p>
    <w:p>
      <w:pPr>
        <w:autoSpaceDE/>
        <w:autoSpaceDN/>
        <w:spacing w:line="580" w:lineRule="exact"/>
        <w:ind w:firstLine="640" w:firstLineChars="200"/>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六</w:t>
      </w:r>
      <w:r>
        <w:rPr>
          <w:rFonts w:ascii="方正仿宋_GBK" w:hAnsi="方正仿宋_GBK" w:eastAsia="方正仿宋_GBK" w:cs="方正仿宋_GBK"/>
          <w:snapToGrid w:val="0"/>
          <w:sz w:val="32"/>
          <w:szCs w:val="32"/>
          <w:highlight w:val="none"/>
        </w:rPr>
        <w:t>、谈判响应文件递交截止时间：202</w:t>
      </w:r>
      <w:r>
        <w:rPr>
          <w:rFonts w:hint="eastAsia" w:ascii="方正仿宋_GBK" w:hAnsi="方正仿宋_GBK" w:eastAsia="方正仿宋_GBK" w:cs="方正仿宋_GBK"/>
          <w:snapToGrid w:val="0"/>
          <w:sz w:val="32"/>
          <w:szCs w:val="32"/>
          <w:highlight w:val="none"/>
          <w:lang w:val="en-US" w:eastAsia="zh-CN"/>
        </w:rPr>
        <w:t>2</w:t>
      </w:r>
      <w:r>
        <w:rPr>
          <w:rFonts w:ascii="方正仿宋_GBK" w:hAnsi="方正仿宋_GBK" w:eastAsia="方正仿宋_GBK" w:cs="方正仿宋_GBK"/>
          <w:snapToGrid w:val="0"/>
          <w:sz w:val="32"/>
          <w:szCs w:val="32"/>
          <w:highlight w:val="none"/>
        </w:rPr>
        <w:t>年</w:t>
      </w:r>
      <w:r>
        <w:rPr>
          <w:rFonts w:hint="eastAsia" w:ascii="方正仿宋_GBK" w:hAnsi="方正仿宋_GBK" w:eastAsia="方正仿宋_GBK" w:cs="方正仿宋_GBK"/>
          <w:snapToGrid w:val="0"/>
          <w:sz w:val="32"/>
          <w:szCs w:val="32"/>
          <w:highlight w:val="none"/>
          <w:lang w:val="en-US" w:eastAsia="zh-CN"/>
        </w:rPr>
        <w:t>6</w:t>
      </w:r>
      <w:r>
        <w:rPr>
          <w:rFonts w:ascii="方正仿宋_GBK" w:hAnsi="方正仿宋_GBK" w:eastAsia="方正仿宋_GBK" w:cs="方正仿宋_GBK"/>
          <w:snapToGrid w:val="0"/>
          <w:sz w:val="32"/>
          <w:szCs w:val="32"/>
          <w:highlight w:val="none"/>
        </w:rPr>
        <w:t>月</w:t>
      </w:r>
      <w:r>
        <w:rPr>
          <w:rFonts w:hint="eastAsia" w:ascii="方正仿宋_GBK" w:hAnsi="方正仿宋_GBK" w:eastAsia="方正仿宋_GBK" w:cs="方正仿宋_GBK"/>
          <w:snapToGrid w:val="0"/>
          <w:sz w:val="32"/>
          <w:szCs w:val="32"/>
          <w:highlight w:val="none"/>
          <w:lang w:val="en-US" w:eastAsia="zh-CN"/>
        </w:rPr>
        <w:t>8</w:t>
      </w:r>
      <w:r>
        <w:rPr>
          <w:rFonts w:ascii="方正仿宋_GBK" w:hAnsi="方正仿宋_GBK" w:eastAsia="方正仿宋_GBK" w:cs="方正仿宋_GBK"/>
          <w:snapToGrid w:val="0"/>
          <w:sz w:val="32"/>
          <w:szCs w:val="32"/>
          <w:highlight w:val="none"/>
        </w:rPr>
        <w:t>日</w:t>
      </w:r>
      <w:r>
        <w:rPr>
          <w:rFonts w:hint="eastAsia" w:ascii="方正仿宋_GBK" w:hAnsi="方正仿宋_GBK" w:eastAsia="方正仿宋_GBK" w:cs="方正仿宋_GBK"/>
          <w:snapToGrid w:val="0"/>
          <w:sz w:val="32"/>
          <w:szCs w:val="32"/>
          <w:highlight w:val="none"/>
          <w:lang w:val="en-US" w:eastAsia="zh-CN"/>
        </w:rPr>
        <w:t>17</w:t>
      </w:r>
      <w:r>
        <w:rPr>
          <w:rFonts w:ascii="方正仿宋_GBK" w:hAnsi="方正仿宋_GBK" w:eastAsia="方正仿宋_GBK" w:cs="方正仿宋_GBK"/>
          <w:snapToGrid w:val="0"/>
          <w:sz w:val="32"/>
          <w:szCs w:val="32"/>
          <w:highlight w:val="none"/>
        </w:rPr>
        <w:t>时（北京时间）</w:t>
      </w:r>
    </w:p>
    <w:p>
      <w:pPr>
        <w:autoSpaceDE/>
        <w:autoSpaceDN/>
        <w:spacing w:line="580" w:lineRule="exact"/>
        <w:ind w:firstLine="640" w:firstLineChars="200"/>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七</w:t>
      </w:r>
      <w:r>
        <w:rPr>
          <w:rFonts w:ascii="方正仿宋_GBK" w:hAnsi="方正仿宋_GBK" w:eastAsia="方正仿宋_GBK" w:cs="方正仿宋_GBK"/>
          <w:snapToGrid w:val="0"/>
          <w:sz w:val="32"/>
          <w:szCs w:val="32"/>
          <w:highlight w:val="none"/>
        </w:rPr>
        <w:t>、投标文件送达地点：惠州市惠阳区淡水街道爱民东路2号惠州市第六人民医院</w:t>
      </w:r>
      <w:r>
        <w:rPr>
          <w:rFonts w:hint="eastAsia" w:ascii="方正仿宋_GBK" w:hAnsi="方正仿宋_GBK" w:eastAsia="方正仿宋_GBK" w:cs="方正仿宋_GBK"/>
          <w:snapToGrid w:val="0"/>
          <w:sz w:val="32"/>
          <w:szCs w:val="32"/>
          <w:highlight w:val="none"/>
        </w:rPr>
        <w:t>门诊</w:t>
      </w:r>
      <w:r>
        <w:rPr>
          <w:rFonts w:ascii="方正仿宋_GBK" w:hAnsi="方正仿宋_GBK" w:eastAsia="方正仿宋_GBK" w:cs="方正仿宋_GBK"/>
          <w:snapToGrid w:val="0"/>
          <w:sz w:val="32"/>
          <w:szCs w:val="32"/>
          <w:highlight w:val="none"/>
        </w:rPr>
        <w:t>楼</w:t>
      </w:r>
      <w:r>
        <w:rPr>
          <w:rFonts w:hint="eastAsia" w:ascii="方正仿宋_GBK" w:hAnsi="方正仿宋_GBK" w:eastAsia="方正仿宋_GBK" w:cs="方正仿宋_GBK"/>
          <w:snapToGrid w:val="0"/>
          <w:sz w:val="32"/>
          <w:szCs w:val="32"/>
          <w:highlight w:val="none"/>
        </w:rPr>
        <w:t>五</w:t>
      </w:r>
      <w:r>
        <w:rPr>
          <w:rFonts w:ascii="方正仿宋_GBK" w:hAnsi="方正仿宋_GBK" w:eastAsia="方正仿宋_GBK" w:cs="方正仿宋_GBK"/>
          <w:snapToGrid w:val="0"/>
          <w:sz w:val="32"/>
          <w:szCs w:val="32"/>
          <w:highlight w:val="none"/>
        </w:rPr>
        <w:t>楼</w:t>
      </w:r>
      <w:r>
        <w:rPr>
          <w:rFonts w:hint="eastAsia" w:ascii="方正仿宋_GBK" w:hAnsi="方正仿宋_GBK" w:eastAsia="方正仿宋_GBK" w:cs="方正仿宋_GBK"/>
          <w:snapToGrid w:val="0"/>
          <w:sz w:val="32"/>
          <w:szCs w:val="32"/>
          <w:highlight w:val="none"/>
        </w:rPr>
        <w:t>客户服务部</w:t>
      </w:r>
      <w:r>
        <w:rPr>
          <w:rFonts w:ascii="方正仿宋_GBK" w:hAnsi="方正仿宋_GBK" w:eastAsia="方正仿宋_GBK" w:cs="方正仿宋_GBK"/>
          <w:snapToGrid w:val="0"/>
          <w:sz w:val="32"/>
          <w:szCs w:val="32"/>
          <w:highlight w:val="none"/>
        </w:rPr>
        <w:t>办公室。</w:t>
      </w:r>
    </w:p>
    <w:p>
      <w:pPr>
        <w:autoSpaceDE/>
        <w:autoSpaceDN/>
        <w:spacing w:line="580" w:lineRule="exact"/>
        <w:ind w:firstLine="640" w:firstLineChars="200"/>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八</w:t>
      </w:r>
      <w:r>
        <w:rPr>
          <w:rFonts w:ascii="方正仿宋_GBK" w:hAnsi="方正仿宋_GBK" w:eastAsia="方正仿宋_GBK" w:cs="方正仿宋_GBK"/>
          <w:snapToGrid w:val="0"/>
          <w:sz w:val="32"/>
          <w:szCs w:val="32"/>
          <w:highlight w:val="none"/>
        </w:rPr>
        <w:t>、开标时间：202</w:t>
      </w:r>
      <w:r>
        <w:rPr>
          <w:rFonts w:hint="eastAsia" w:ascii="方正仿宋_GBK" w:hAnsi="方正仿宋_GBK" w:eastAsia="方正仿宋_GBK" w:cs="方正仿宋_GBK"/>
          <w:snapToGrid w:val="0"/>
          <w:sz w:val="32"/>
          <w:szCs w:val="32"/>
          <w:highlight w:val="none"/>
          <w:lang w:val="en-US" w:eastAsia="zh-CN"/>
        </w:rPr>
        <w:t>2</w:t>
      </w:r>
      <w:r>
        <w:rPr>
          <w:rFonts w:ascii="方正仿宋_GBK" w:hAnsi="方正仿宋_GBK" w:eastAsia="方正仿宋_GBK" w:cs="方正仿宋_GBK"/>
          <w:snapToGrid w:val="0"/>
          <w:sz w:val="32"/>
          <w:szCs w:val="32"/>
          <w:highlight w:val="none"/>
        </w:rPr>
        <w:t>年</w:t>
      </w:r>
      <w:r>
        <w:rPr>
          <w:rFonts w:hint="eastAsia" w:ascii="方正仿宋_GBK" w:hAnsi="方正仿宋_GBK" w:eastAsia="方正仿宋_GBK" w:cs="方正仿宋_GBK"/>
          <w:snapToGrid w:val="0"/>
          <w:sz w:val="32"/>
          <w:szCs w:val="32"/>
          <w:highlight w:val="none"/>
          <w:lang w:val="en-US" w:eastAsia="zh-CN"/>
        </w:rPr>
        <w:t>6</w:t>
      </w:r>
      <w:r>
        <w:rPr>
          <w:rFonts w:ascii="方正仿宋_GBK" w:hAnsi="方正仿宋_GBK" w:eastAsia="方正仿宋_GBK" w:cs="方正仿宋_GBK"/>
          <w:snapToGrid w:val="0"/>
          <w:sz w:val="32"/>
          <w:szCs w:val="32"/>
          <w:highlight w:val="none"/>
        </w:rPr>
        <w:t>月</w:t>
      </w:r>
      <w:r>
        <w:rPr>
          <w:rFonts w:hint="eastAsia" w:ascii="方正仿宋_GBK" w:hAnsi="方正仿宋_GBK" w:eastAsia="方正仿宋_GBK" w:cs="方正仿宋_GBK"/>
          <w:snapToGrid w:val="0"/>
          <w:sz w:val="32"/>
          <w:szCs w:val="32"/>
          <w:highlight w:val="none"/>
          <w:lang w:val="en-US" w:eastAsia="zh-CN"/>
        </w:rPr>
        <w:t>9</w:t>
      </w:r>
      <w:r>
        <w:rPr>
          <w:rFonts w:ascii="方正仿宋_GBK" w:hAnsi="方正仿宋_GBK" w:eastAsia="方正仿宋_GBK" w:cs="方正仿宋_GBK"/>
          <w:snapToGrid w:val="0"/>
          <w:sz w:val="32"/>
          <w:szCs w:val="32"/>
          <w:highlight w:val="none"/>
        </w:rPr>
        <w:t>日 1</w:t>
      </w:r>
      <w:r>
        <w:rPr>
          <w:rFonts w:hint="eastAsia" w:ascii="方正仿宋_GBK" w:hAnsi="方正仿宋_GBK" w:eastAsia="方正仿宋_GBK" w:cs="方正仿宋_GBK"/>
          <w:snapToGrid w:val="0"/>
          <w:sz w:val="32"/>
          <w:szCs w:val="32"/>
          <w:highlight w:val="none"/>
          <w:lang w:val="en-US" w:eastAsia="zh-CN"/>
        </w:rPr>
        <w:t>5</w:t>
      </w:r>
      <w:r>
        <w:rPr>
          <w:rFonts w:ascii="方正仿宋_GBK" w:hAnsi="方正仿宋_GBK" w:eastAsia="方正仿宋_GBK" w:cs="方正仿宋_GBK"/>
          <w:snapToGrid w:val="0"/>
          <w:sz w:val="32"/>
          <w:szCs w:val="32"/>
          <w:highlight w:val="none"/>
        </w:rPr>
        <w:t>:00</w:t>
      </w:r>
    </w:p>
    <w:p>
      <w:pPr>
        <w:autoSpaceDE/>
        <w:autoSpaceDN/>
        <w:spacing w:line="580" w:lineRule="exact"/>
        <w:ind w:firstLine="640" w:firstLineChars="200"/>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九</w:t>
      </w:r>
      <w:r>
        <w:rPr>
          <w:rFonts w:ascii="方正仿宋_GBK" w:hAnsi="方正仿宋_GBK" w:eastAsia="方正仿宋_GBK" w:cs="方正仿宋_GBK"/>
          <w:snapToGrid w:val="0"/>
          <w:sz w:val="32"/>
          <w:szCs w:val="32"/>
          <w:highlight w:val="none"/>
        </w:rPr>
        <w:t>、开标地点：惠州市惠阳区淡水街道爱民东路2号惠州市</w:t>
      </w:r>
    </w:p>
    <w:p>
      <w:pPr>
        <w:autoSpaceDE/>
        <w:autoSpaceDN/>
        <w:spacing w:line="580" w:lineRule="exact"/>
        <w:ind w:firstLine="640" w:firstLineChars="200"/>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六人民医院</w:t>
      </w:r>
    </w:p>
    <w:p>
      <w:pPr>
        <w:autoSpaceDE/>
        <w:autoSpaceDN/>
        <w:spacing w:line="580" w:lineRule="exact"/>
        <w:ind w:firstLine="640" w:firstLineChars="200"/>
        <w:rPr>
          <w:rFonts w:ascii="方正仿宋_GBK" w:hAnsi="方正仿宋_GBK" w:eastAsia="方正仿宋_GBK" w:cs="方正仿宋_GBK"/>
          <w:snapToGrid w:val="0"/>
          <w:sz w:val="32"/>
          <w:szCs w:val="32"/>
          <w:highlight w:val="none"/>
        </w:rPr>
      </w:pPr>
    </w:p>
    <w:p>
      <w:pPr>
        <w:autoSpaceDE/>
        <w:autoSpaceDN/>
        <w:spacing w:line="580" w:lineRule="exact"/>
        <w:ind w:firstLine="640" w:firstLineChars="200"/>
        <w:rPr>
          <w:rFonts w:ascii="方正仿宋_GBK" w:hAnsi="方正仿宋_GBK" w:eastAsia="方正仿宋_GBK" w:cs="方正仿宋_GBK"/>
          <w:snapToGrid w:val="0"/>
          <w:sz w:val="32"/>
          <w:szCs w:val="32"/>
          <w:highlight w:val="none"/>
        </w:rPr>
      </w:pPr>
    </w:p>
    <w:p>
      <w:pPr>
        <w:ind w:firstLine="640" w:firstLineChars="200"/>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招标人：惠州市第六人民医院</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联系人：</w:t>
      </w:r>
      <w:r>
        <w:rPr>
          <w:rFonts w:hint="eastAsia" w:ascii="方正仿宋_GBK" w:hAnsi="方正仿宋_GBK" w:eastAsia="方正仿宋_GBK" w:cs="方正仿宋_GBK"/>
          <w:snapToGrid w:val="0"/>
          <w:sz w:val="32"/>
          <w:szCs w:val="32"/>
          <w:highlight w:val="none"/>
        </w:rPr>
        <w:t>陈柏谦</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电话：0752-</w:t>
      </w:r>
      <w:r>
        <w:rPr>
          <w:rFonts w:hint="eastAsia" w:ascii="方正仿宋_GBK" w:hAnsi="方正仿宋_GBK" w:eastAsia="方正仿宋_GBK" w:cs="方正仿宋_GBK"/>
          <w:snapToGrid w:val="0"/>
          <w:sz w:val="32"/>
          <w:szCs w:val="32"/>
          <w:highlight w:val="none"/>
        </w:rPr>
        <w:t>6516112</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lang w:val="zh-CN"/>
        </w:rPr>
      </w:pPr>
      <w:r>
        <w:rPr>
          <w:rFonts w:ascii="方正仿宋_GBK" w:hAnsi="方正仿宋_GBK" w:eastAsia="方正仿宋_GBK" w:cs="方正仿宋_GBK"/>
          <w:snapToGrid w:val="0"/>
          <w:sz w:val="32"/>
          <w:szCs w:val="32"/>
          <w:highlight w:val="none"/>
          <w:lang w:val="zh-CN"/>
        </w:rPr>
        <w:t>联系地址：惠州市惠阳区淡水街道爱民东路 2 号</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lang w:val="zh-CN"/>
        </w:rPr>
      </w:pPr>
      <w:r>
        <w:rPr>
          <w:rFonts w:ascii="方正仿宋_GBK" w:hAnsi="方正仿宋_GBK" w:eastAsia="方正仿宋_GBK" w:cs="方正仿宋_GBK"/>
          <w:snapToGrid w:val="0"/>
          <w:sz w:val="32"/>
          <w:szCs w:val="32"/>
          <w:highlight w:val="none"/>
          <w:lang w:val="zh-CN"/>
        </w:rPr>
        <w:t>邮编：516211</w:t>
      </w:r>
    </w:p>
    <w:p>
      <w:pPr>
        <w:pStyle w:val="11"/>
        <w:ind w:left="0"/>
        <w:rPr>
          <w:rFonts w:ascii="仿宋" w:hAnsi="仿宋" w:eastAsia="仿宋"/>
          <w:sz w:val="36"/>
          <w:highlight w:val="none"/>
        </w:rPr>
      </w:pPr>
    </w:p>
    <w:p>
      <w:pPr>
        <w:pStyle w:val="11"/>
        <w:ind w:left="0"/>
        <w:rPr>
          <w:rFonts w:ascii="仿宋" w:hAnsi="仿宋" w:eastAsia="仿宋"/>
          <w:sz w:val="36"/>
          <w:highlight w:val="none"/>
        </w:rPr>
      </w:pPr>
    </w:p>
    <w:p>
      <w:pPr>
        <w:autoSpaceDE/>
        <w:autoSpaceDN/>
        <w:spacing w:line="580" w:lineRule="exact"/>
        <w:ind w:firstLine="4960" w:firstLineChars="1550"/>
        <w:jc w:val="center"/>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 xml:space="preserve">惠州市第六人民医院 </w:t>
      </w:r>
    </w:p>
    <w:p>
      <w:pPr>
        <w:autoSpaceDE/>
        <w:autoSpaceDN/>
        <w:spacing w:line="580" w:lineRule="exact"/>
        <w:ind w:firstLine="4960" w:firstLineChars="1550"/>
        <w:jc w:val="center"/>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202</w:t>
      </w:r>
      <w:r>
        <w:rPr>
          <w:rFonts w:hint="eastAsia" w:ascii="方正仿宋_GBK" w:hAnsi="方正仿宋_GBK" w:eastAsia="方正仿宋_GBK" w:cs="方正仿宋_GBK"/>
          <w:snapToGrid w:val="0"/>
          <w:sz w:val="32"/>
          <w:szCs w:val="32"/>
          <w:highlight w:val="none"/>
        </w:rPr>
        <w:t>2</w:t>
      </w:r>
      <w:r>
        <w:rPr>
          <w:rFonts w:ascii="方正仿宋_GBK" w:hAnsi="方正仿宋_GBK" w:eastAsia="方正仿宋_GBK" w:cs="方正仿宋_GBK"/>
          <w:snapToGrid w:val="0"/>
          <w:sz w:val="32"/>
          <w:szCs w:val="32"/>
          <w:highlight w:val="none"/>
        </w:rPr>
        <w:t xml:space="preserve">年 </w:t>
      </w:r>
      <w:r>
        <w:rPr>
          <w:rFonts w:hint="eastAsia" w:ascii="方正仿宋_GBK" w:hAnsi="方正仿宋_GBK" w:eastAsia="方正仿宋_GBK" w:cs="方正仿宋_GBK"/>
          <w:snapToGrid w:val="0"/>
          <w:sz w:val="32"/>
          <w:szCs w:val="32"/>
          <w:highlight w:val="none"/>
        </w:rPr>
        <w:t>5</w:t>
      </w:r>
      <w:r>
        <w:rPr>
          <w:rFonts w:ascii="方正仿宋_GBK" w:hAnsi="方正仿宋_GBK" w:eastAsia="方正仿宋_GBK" w:cs="方正仿宋_GBK"/>
          <w:snapToGrid w:val="0"/>
          <w:sz w:val="32"/>
          <w:szCs w:val="32"/>
          <w:highlight w:val="none"/>
        </w:rPr>
        <w:t xml:space="preserve"> 月 </w:t>
      </w:r>
      <w:r>
        <w:rPr>
          <w:rFonts w:hint="eastAsia" w:ascii="方正仿宋_GBK" w:hAnsi="方正仿宋_GBK" w:eastAsia="方正仿宋_GBK" w:cs="方正仿宋_GBK"/>
          <w:snapToGrid w:val="0"/>
          <w:sz w:val="32"/>
          <w:szCs w:val="32"/>
          <w:highlight w:val="none"/>
          <w:lang w:val="en-US" w:eastAsia="zh-CN"/>
        </w:rPr>
        <w:t>31</w:t>
      </w:r>
      <w:r>
        <w:rPr>
          <w:rFonts w:ascii="方正仿宋_GBK" w:hAnsi="方正仿宋_GBK" w:eastAsia="方正仿宋_GBK" w:cs="方正仿宋_GBK"/>
          <w:snapToGrid w:val="0"/>
          <w:sz w:val="32"/>
          <w:szCs w:val="32"/>
          <w:highlight w:val="none"/>
        </w:rPr>
        <w:t>日</w:t>
      </w:r>
    </w:p>
    <w:p>
      <w:pPr>
        <w:spacing w:line="340" w:lineRule="auto"/>
        <w:rPr>
          <w:rFonts w:ascii="仿宋" w:hAnsi="仿宋" w:eastAsia="仿宋"/>
          <w:sz w:val="32"/>
          <w:highlight w:val="none"/>
        </w:rPr>
        <w:sectPr>
          <w:pgSz w:w="11910" w:h="16840"/>
          <w:pgMar w:top="1520" w:right="1000" w:bottom="280" w:left="1080" w:header="720" w:footer="720" w:gutter="0"/>
          <w:cols w:space="720" w:num="1"/>
        </w:sectPr>
      </w:pPr>
    </w:p>
    <w:p>
      <w:pPr>
        <w:autoSpaceDE/>
        <w:autoSpaceDN/>
        <w:jc w:val="center"/>
        <w:outlineLvl w:val="0"/>
        <w:rPr>
          <w:rFonts w:ascii="方正黑体_GBK" w:hAnsi="方正黑体_GBK" w:eastAsia="方正黑体_GBK" w:cs="方正黑体_GBK"/>
          <w:bCs/>
          <w:snapToGrid w:val="0"/>
          <w:sz w:val="32"/>
          <w:szCs w:val="32"/>
          <w:highlight w:val="none"/>
        </w:rPr>
      </w:pPr>
      <w:r>
        <w:rPr>
          <w:rFonts w:hint="eastAsia" w:ascii="方正黑体_GBK" w:hAnsi="方正黑体_GBK" w:eastAsia="方正黑体_GBK" w:cs="方正黑体_GBK"/>
          <w:bCs/>
          <w:snapToGrid w:val="0"/>
          <w:sz w:val="32"/>
          <w:szCs w:val="32"/>
          <w:highlight w:val="none"/>
        </w:rPr>
        <w:t>第二部分</w:t>
      </w:r>
      <w:r>
        <w:rPr>
          <w:rFonts w:hint="eastAsia" w:ascii="方正黑体_GBK" w:hAnsi="方正黑体_GBK" w:eastAsia="方正黑体_GBK" w:cs="方正黑体_GBK"/>
          <w:bCs/>
          <w:snapToGrid w:val="0"/>
          <w:sz w:val="32"/>
          <w:szCs w:val="32"/>
          <w:highlight w:val="none"/>
        </w:rPr>
        <w:tab/>
      </w:r>
      <w:r>
        <w:rPr>
          <w:rFonts w:hint="eastAsia" w:ascii="方正黑体_GBK" w:hAnsi="方正黑体_GBK" w:eastAsia="方正黑体_GBK" w:cs="方正黑体_GBK"/>
          <w:bCs/>
          <w:snapToGrid w:val="0"/>
          <w:sz w:val="32"/>
          <w:szCs w:val="32"/>
          <w:highlight w:val="none"/>
        </w:rPr>
        <w:t>采购项目内容</w:t>
      </w:r>
    </w:p>
    <w:p>
      <w:pPr>
        <w:autoSpaceDE/>
        <w:autoSpaceDN/>
        <w:spacing w:line="580" w:lineRule="exact"/>
        <w:jc w:val="both"/>
        <w:outlineLvl w:val="1"/>
        <w:rPr>
          <w:rFonts w:ascii="方正楷体_GBK" w:hAnsi="方正楷体_GBK" w:eastAsia="方正楷体_GBK" w:cs="方正楷体_GBK"/>
          <w:snapToGrid w:val="0"/>
          <w:sz w:val="32"/>
          <w:szCs w:val="32"/>
          <w:highlight w:val="none"/>
        </w:rPr>
      </w:pPr>
      <w:r>
        <w:rPr>
          <w:rFonts w:ascii="方正楷体_GBK" w:hAnsi="方正楷体_GBK" w:eastAsia="方正楷体_GBK" w:cs="方正楷体_GBK"/>
          <w:snapToGrid w:val="0"/>
          <w:sz w:val="32"/>
          <w:szCs w:val="32"/>
          <w:highlight w:val="none"/>
        </w:rPr>
        <w:t>一、投标人资格要求</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w:t>
      </w:r>
      <w:r>
        <w:rPr>
          <w:rFonts w:hint="eastAsia" w:ascii="方正仿宋_GBK" w:hAnsi="方正仿宋_GBK" w:eastAsia="方正仿宋_GBK" w:cs="方正仿宋_GBK"/>
          <w:snapToGrid w:val="0"/>
          <w:sz w:val="32"/>
          <w:szCs w:val="32"/>
          <w:highlight w:val="none"/>
        </w:rPr>
        <w:t>在中国境内注册，在法律上、财务上独立，合法运作并独立于采购人的具有独立承担民事责任能力的法人、其他组织或自然人（提供营业执照等证明文件）</w:t>
      </w:r>
      <w:r>
        <w:rPr>
          <w:rFonts w:ascii="方正仿宋_GBK" w:hAnsi="方正仿宋_GBK" w:eastAsia="方正仿宋_GBK" w:cs="方正仿宋_GBK"/>
          <w:snapToGrid w:val="0"/>
          <w:sz w:val="32"/>
          <w:szCs w:val="32"/>
          <w:highlight w:val="none"/>
        </w:rPr>
        <w:t>；</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2、不接受联合投标体投标以及对本项目进行分包和转包；</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3、单位负责人为同一人或者存在控股、管理关系的不同单位，不得参加同一招标项目包投标（投标人出具声明函）；</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4、</w:t>
      </w:r>
      <w:r>
        <w:rPr>
          <w:rFonts w:hint="eastAsia" w:ascii="方正仿宋_GBK" w:hAnsi="方正仿宋_GBK" w:eastAsia="方正仿宋_GBK" w:cs="方正仿宋_GBK"/>
          <w:snapToGrid w:val="0"/>
          <w:sz w:val="32"/>
          <w:szCs w:val="32"/>
          <w:highlight w:val="none"/>
        </w:rPr>
        <w:t>在“信用中国”网站（</w:t>
      </w:r>
      <w:r>
        <w:rPr>
          <w:rFonts w:ascii="方正仿宋_GBK" w:hAnsi="方正仿宋_GBK" w:eastAsia="方正仿宋_GBK" w:cs="方正仿宋_GBK"/>
          <w:snapToGrid w:val="0"/>
          <w:sz w:val="32"/>
          <w:szCs w:val="32"/>
          <w:highlight w:val="none"/>
        </w:rPr>
        <w:t>www.credichina.gov.cn）、中国政府采购网（www.ccgp.gov.cn）没有被列入失信被执行人、重大税收违法案件当事人名单、政府采购严重违法失信行为记录名单及其它不符合规定条件的供应商；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5、已报名并获取本次招标文件。</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响应供应商必须满足以上资格要求，如出现对任意一条不满足的，资格性审查将不通过</w:t>
      </w:r>
    </w:p>
    <w:p>
      <w:pPr>
        <w:autoSpaceDE/>
        <w:autoSpaceDN/>
        <w:spacing w:line="580" w:lineRule="exact"/>
        <w:jc w:val="both"/>
        <w:outlineLvl w:val="1"/>
        <w:rPr>
          <w:rFonts w:ascii="方正楷体_GBK" w:hAnsi="方正楷体_GBK" w:eastAsia="方正楷体_GBK" w:cs="方正楷体_GBK"/>
          <w:snapToGrid w:val="0"/>
          <w:sz w:val="32"/>
          <w:szCs w:val="32"/>
          <w:highlight w:val="none"/>
        </w:rPr>
      </w:pPr>
      <w:r>
        <w:rPr>
          <w:rFonts w:hint="eastAsia" w:ascii="方正楷体_GBK" w:hAnsi="方正楷体_GBK" w:eastAsia="方正楷体_GBK" w:cs="方正楷体_GBK"/>
          <w:snapToGrid w:val="0"/>
          <w:sz w:val="32"/>
          <w:szCs w:val="32"/>
          <w:highlight w:val="none"/>
        </w:rPr>
        <w:t>二、响应基本要求</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1、本采购项目中标注★号的内容为实质性要求和条件，如果响应供应商所比选货物、服务与具体要求存在不响应或者负偏离，在符合性审查时将不予通过，响应无效。</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2、本采购项目中标注▲号的内容为择优要求和条件，负偏离或不响应▲号条款的响应供应商将影响综合得分。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3、本文件中的服务要求为参考指标，响应供应商所投的对应服务内容应等同于或优于比选文件中的服务要求,主要服务内容提供响应证明材料。</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4、</w:t>
      </w:r>
      <w:r>
        <w:rPr>
          <w:rFonts w:hint="eastAsia" w:ascii="方正仿宋_GBK" w:hAnsi="方正仿宋_GBK" w:eastAsia="方正仿宋_GBK" w:cs="方正仿宋_GBK"/>
          <w:snapToGrid w:val="0"/>
          <w:sz w:val="32"/>
          <w:szCs w:val="32"/>
          <w:highlight w:val="none"/>
        </w:rPr>
        <w:t>投标人应编制投标文件一式六份，其中正本一份和副本五份，投标文件的副本可采用正本的复印件</w:t>
      </w:r>
      <w:r>
        <w:rPr>
          <w:rFonts w:ascii="方正仿宋_GBK" w:hAnsi="方正仿宋_GBK" w:eastAsia="方正仿宋_GBK" w:cs="方正仿宋_GBK"/>
          <w:snapToGrid w:val="0"/>
          <w:sz w:val="32"/>
          <w:szCs w:val="32"/>
          <w:highlight w:val="none"/>
        </w:rPr>
        <w:t>，否则其响应将被拒绝。</w:t>
      </w:r>
    </w:p>
    <w:p>
      <w:pPr>
        <w:autoSpaceDE/>
        <w:autoSpaceDN/>
        <w:spacing w:line="580" w:lineRule="exact"/>
        <w:jc w:val="both"/>
        <w:outlineLvl w:val="1"/>
        <w:rPr>
          <w:rFonts w:ascii="方正楷体_GBK" w:hAnsi="方正楷体_GBK" w:eastAsia="方正楷体_GBK" w:cs="方正楷体_GBK"/>
          <w:snapToGrid w:val="0"/>
          <w:sz w:val="32"/>
          <w:szCs w:val="32"/>
          <w:highlight w:val="none"/>
        </w:rPr>
      </w:pPr>
      <w:r>
        <w:rPr>
          <w:rFonts w:hint="eastAsia" w:ascii="方正楷体_GBK" w:hAnsi="方正楷体_GBK" w:eastAsia="方正楷体_GBK" w:cs="方正楷体_GBK"/>
          <w:snapToGrid w:val="0"/>
          <w:sz w:val="32"/>
          <w:szCs w:val="32"/>
          <w:highlight w:val="none"/>
        </w:rPr>
        <w:t>三</w:t>
      </w:r>
      <w:r>
        <w:rPr>
          <w:rFonts w:ascii="方正楷体_GBK" w:hAnsi="方正楷体_GBK" w:eastAsia="方正楷体_GBK" w:cs="方正楷体_GBK"/>
          <w:snapToGrid w:val="0"/>
          <w:sz w:val="32"/>
          <w:szCs w:val="32"/>
          <w:highlight w:val="none"/>
        </w:rPr>
        <w:t>、用户需求</w:t>
      </w:r>
      <w:r>
        <w:rPr>
          <w:rFonts w:hint="eastAsia" w:ascii="方正楷体_GBK" w:hAnsi="方正楷体_GBK" w:eastAsia="方正楷体_GBK" w:cs="方正楷体_GBK"/>
          <w:snapToGrid w:val="0"/>
          <w:sz w:val="32"/>
          <w:szCs w:val="32"/>
          <w:highlight w:val="none"/>
        </w:rPr>
        <w:t>书</w:t>
      </w:r>
    </w:p>
    <w:p>
      <w:pPr>
        <w:pStyle w:val="19"/>
        <w:rPr>
          <w:rFonts w:ascii="方正黑体_GBK" w:hAnsi="方正黑体_GBK" w:eastAsia="方正黑体_GBK" w:cs="方正黑体_GBK"/>
          <w:sz w:val="32"/>
          <w:szCs w:val="32"/>
          <w:highlight w:val="none"/>
        </w:rPr>
      </w:pPr>
      <w:r>
        <w:rPr>
          <w:rFonts w:ascii="方正黑体_GBK" w:hAnsi="方正黑体_GBK" w:eastAsia="方正黑体_GBK" w:cs="方正黑体_GBK"/>
          <w:sz w:val="32"/>
          <w:szCs w:val="32"/>
          <w:highlight w:val="none"/>
        </w:rPr>
        <w:t>（一）项目背景</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为了贯彻落实国务院办公厅《关于推动公立医院高质量发展的意见》精神，不断提升医院内部服务品质，深入推动改善医疗服务，增强人民群众就医获得感，助力医院进行三甲医院评审，进行满意度调查与评价服务及三级医院等级评审相关文件资料准备服务。调查对象包括门诊患者、住院患者和员工，通过满意度调查促进医院改进相关问题，推动医院管理水平不断提高。</w:t>
      </w:r>
    </w:p>
    <w:p>
      <w:pPr>
        <w:pStyle w:val="19"/>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（二）研究目的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1.患者及员工满意度调查与评价：调查医院各临床科室患者满意度，形成全院重视患者满意度氛围， 有效促进医院患者满意度的提高；开展院内员工满意度调查，含临床科室对职能后勤部门满意度调查，了解员工对医院看法和意见；</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2.等级评审迎检工作：根据《三级综合医院评审标准实施细则》中“社会评价”相关标准规定，为医院提供三级医院等级评审之社会评价方案，并准备相关文件。</w:t>
      </w:r>
    </w:p>
    <w:p>
      <w:pPr>
        <w:pStyle w:val="19"/>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（三）患者满意度指标体系</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调研机构制订满意度调查与评价的指标体系总体架构，考核对象覆盖了各部门的工作人员（医生、护士、导诊员、检验人员等），针对工作人员的各个工作环节进行评价，以量化形式，得到本院服务不足之处。</w:t>
      </w:r>
      <w:r>
        <w:rPr>
          <w:rFonts w:ascii="方正仿宋_GBK" w:hAnsi="方正仿宋_GBK" w:eastAsia="方正仿宋_GBK" w:cs="方正仿宋_GBK"/>
          <w:snapToGrid w:val="0"/>
          <w:sz w:val="32"/>
          <w:szCs w:val="32"/>
          <w:highlight w:val="none"/>
        </w:rPr>
        <w:t xml:space="preserve"> </w:t>
      </w:r>
    </w:p>
    <w:p>
      <w:pPr>
        <w:autoSpaceDE/>
        <w:autoSpaceDN/>
        <w:spacing w:line="580" w:lineRule="exact"/>
        <w:ind w:firstLine="640" w:firstLineChars="200"/>
        <w:jc w:val="both"/>
        <w:rPr>
          <w:rFonts w:ascii="仿宋" w:hAnsi="仿宋" w:eastAsia="仿宋"/>
          <w:highlight w:val="none"/>
        </w:rPr>
      </w:pPr>
      <w:r>
        <w:rPr>
          <w:rFonts w:hint="eastAsia" w:ascii="方正仿宋_GBK" w:hAnsi="方正仿宋_GBK" w:eastAsia="方正仿宋_GBK" w:cs="方正仿宋_GBK"/>
          <w:snapToGrid w:val="0"/>
          <w:sz w:val="32"/>
          <w:szCs w:val="32"/>
          <w:highlight w:val="none"/>
        </w:rPr>
        <w:t>此外，为了精确地了解到医院哪些方面的不足，进行多层次的绩效考核，所以将评价体系尽最大可能细化到了科室、人员、行为三个层面。</w:t>
      </w:r>
    </w:p>
    <w:p>
      <w:pPr>
        <w:pStyle w:val="19"/>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（四）员工满意度指标体系</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员工满意度采用与国家公立医院绩效考核满意度一致的指标评价方式，可用于改善员工对于相关指标的满意度，从而提高国考满意度。</w:t>
      </w:r>
    </w:p>
    <w:p>
      <w:pPr>
        <w:pStyle w:val="19"/>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（五）研究周期、对象及样本数量</w:t>
      </w:r>
    </w:p>
    <w:tbl>
      <w:tblPr>
        <w:tblStyle w:val="21"/>
        <w:tblW w:w="10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1996"/>
        <w:gridCol w:w="1996"/>
        <w:gridCol w:w="4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jc w:val="center"/>
        </w:trPr>
        <w:tc>
          <w:tcPr>
            <w:tcW w:w="1996" w:type="dxa"/>
            <w:shd w:val="clear" w:color="auto" w:fill="5B99E0"/>
            <w:noWrap/>
            <w:vAlign w:val="center"/>
          </w:tcPr>
          <w:p>
            <w:pPr>
              <w:autoSpaceDE/>
              <w:autoSpaceDN/>
              <w:spacing w:line="580" w:lineRule="exact"/>
              <w:jc w:val="center"/>
              <w:rPr>
                <w:rFonts w:cs="方正仿宋_GBK" w:asciiTheme="minorEastAsia" w:hAnsiTheme="minorEastAsia" w:eastAsiaTheme="minorEastAsia"/>
                <w:b/>
                <w:bCs/>
                <w:snapToGrid w:val="0"/>
                <w:color w:val="FFFFFF" w:themeColor="background1"/>
                <w:sz w:val="24"/>
                <w:szCs w:val="24"/>
                <w:highlight w:val="none"/>
                <w14:textFill>
                  <w14:solidFill>
                    <w14:schemeClr w14:val="bg1"/>
                  </w14:solidFill>
                </w14:textFill>
              </w:rPr>
            </w:pPr>
            <w:r>
              <w:rPr>
                <w:rFonts w:hint="eastAsia" w:cs="方正仿宋_GBK" w:asciiTheme="minorEastAsia" w:hAnsiTheme="minorEastAsia" w:eastAsiaTheme="minorEastAsia"/>
                <w:b/>
                <w:bCs/>
                <w:snapToGrid w:val="0"/>
                <w:color w:val="FFFFFF" w:themeColor="background1"/>
                <w:sz w:val="24"/>
                <w:szCs w:val="24"/>
                <w:highlight w:val="none"/>
                <w14:textFill>
                  <w14:solidFill>
                    <w14:schemeClr w14:val="bg1"/>
                  </w14:solidFill>
                </w14:textFill>
              </w:rPr>
              <w:t>调查对象</w:t>
            </w:r>
          </w:p>
        </w:tc>
        <w:tc>
          <w:tcPr>
            <w:tcW w:w="1996" w:type="dxa"/>
            <w:shd w:val="clear" w:color="auto" w:fill="5B99E0"/>
            <w:noWrap/>
            <w:vAlign w:val="center"/>
          </w:tcPr>
          <w:p>
            <w:pPr>
              <w:autoSpaceDE/>
              <w:autoSpaceDN/>
              <w:spacing w:line="580" w:lineRule="exact"/>
              <w:jc w:val="center"/>
              <w:rPr>
                <w:rFonts w:cs="方正仿宋_GBK" w:asciiTheme="minorEastAsia" w:hAnsiTheme="minorEastAsia" w:eastAsiaTheme="minorEastAsia"/>
                <w:b/>
                <w:bCs/>
                <w:snapToGrid w:val="0"/>
                <w:color w:val="FFFFFF" w:themeColor="background1"/>
                <w:sz w:val="24"/>
                <w:szCs w:val="24"/>
                <w:highlight w:val="none"/>
                <w14:textFill>
                  <w14:solidFill>
                    <w14:schemeClr w14:val="bg1"/>
                  </w14:solidFill>
                </w14:textFill>
              </w:rPr>
            </w:pPr>
            <w:r>
              <w:rPr>
                <w:rFonts w:hint="eastAsia" w:cs="方正仿宋_GBK" w:asciiTheme="minorEastAsia" w:hAnsiTheme="minorEastAsia" w:eastAsiaTheme="minorEastAsia"/>
                <w:b/>
                <w:bCs/>
                <w:snapToGrid w:val="0"/>
                <w:color w:val="FFFFFF" w:themeColor="background1"/>
                <w:sz w:val="24"/>
                <w:szCs w:val="24"/>
                <w:highlight w:val="none"/>
                <w14:textFill>
                  <w14:solidFill>
                    <w14:schemeClr w14:val="bg1"/>
                  </w14:solidFill>
                </w14:textFill>
              </w:rPr>
              <w:t>调查周期</w:t>
            </w:r>
          </w:p>
        </w:tc>
        <w:tc>
          <w:tcPr>
            <w:tcW w:w="1996" w:type="dxa"/>
            <w:shd w:val="clear" w:color="auto" w:fill="5B99E0"/>
            <w:vAlign w:val="center"/>
          </w:tcPr>
          <w:p>
            <w:pPr>
              <w:autoSpaceDE/>
              <w:autoSpaceDN/>
              <w:spacing w:line="580" w:lineRule="exact"/>
              <w:jc w:val="center"/>
              <w:rPr>
                <w:rFonts w:cs="方正仿宋_GBK" w:asciiTheme="minorEastAsia" w:hAnsiTheme="minorEastAsia" w:eastAsiaTheme="minorEastAsia"/>
                <w:b/>
                <w:bCs/>
                <w:snapToGrid w:val="0"/>
                <w:color w:val="FFFFFF" w:themeColor="background1"/>
                <w:sz w:val="24"/>
                <w:szCs w:val="24"/>
                <w:highlight w:val="none"/>
                <w14:textFill>
                  <w14:solidFill>
                    <w14:schemeClr w14:val="bg1"/>
                  </w14:solidFill>
                </w14:textFill>
              </w:rPr>
            </w:pPr>
            <w:r>
              <w:rPr>
                <w:rFonts w:hint="eastAsia" w:cs="方正仿宋_GBK" w:asciiTheme="minorEastAsia" w:hAnsiTheme="minorEastAsia" w:eastAsiaTheme="minorEastAsia"/>
                <w:b/>
                <w:bCs/>
                <w:snapToGrid w:val="0"/>
                <w:color w:val="FFFFFF" w:themeColor="background1"/>
                <w:sz w:val="24"/>
                <w:szCs w:val="24"/>
                <w:highlight w:val="none"/>
                <w14:textFill>
                  <w14:solidFill>
                    <w14:schemeClr w14:val="bg1"/>
                  </w14:solidFill>
                </w14:textFill>
              </w:rPr>
              <w:t>样本量</w:t>
            </w:r>
          </w:p>
        </w:tc>
        <w:tc>
          <w:tcPr>
            <w:tcW w:w="4930" w:type="dxa"/>
            <w:shd w:val="clear" w:color="auto" w:fill="5B99E0"/>
            <w:noWrap/>
            <w:vAlign w:val="center"/>
          </w:tcPr>
          <w:p>
            <w:pPr>
              <w:autoSpaceDE/>
              <w:autoSpaceDN/>
              <w:spacing w:line="580" w:lineRule="exact"/>
              <w:jc w:val="center"/>
              <w:rPr>
                <w:rFonts w:cs="方正仿宋_GBK" w:asciiTheme="minorEastAsia" w:hAnsiTheme="minorEastAsia" w:eastAsiaTheme="minorEastAsia"/>
                <w:b/>
                <w:bCs/>
                <w:snapToGrid w:val="0"/>
                <w:color w:val="FFFFFF" w:themeColor="background1"/>
                <w:sz w:val="24"/>
                <w:szCs w:val="24"/>
                <w:highlight w:val="none"/>
                <w14:textFill>
                  <w14:solidFill>
                    <w14:schemeClr w14:val="bg1"/>
                  </w14:solidFill>
                </w14:textFill>
              </w:rPr>
            </w:pPr>
            <w:r>
              <w:rPr>
                <w:rFonts w:hint="eastAsia" w:cs="方正仿宋_GBK" w:asciiTheme="minorEastAsia" w:hAnsiTheme="minorEastAsia" w:eastAsiaTheme="minorEastAsia"/>
                <w:b/>
                <w:bCs/>
                <w:snapToGrid w:val="0"/>
                <w:color w:val="FFFFFF" w:themeColor="background1"/>
                <w:sz w:val="24"/>
                <w:szCs w:val="24"/>
                <w:highlight w:val="none"/>
                <w14:textFill>
                  <w14:solidFill>
                    <w14:schemeClr w14:val="bg1"/>
                  </w14:solidFill>
                </w14:textFill>
              </w:rPr>
              <w:t>调查周期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1996" w:type="dxa"/>
            <w:shd w:val="clear" w:color="auto" w:fill="auto"/>
            <w:noWrap/>
            <w:vAlign w:val="center"/>
          </w:tcPr>
          <w:p>
            <w:pPr>
              <w:autoSpaceDE/>
              <w:autoSpaceDN/>
              <w:spacing w:line="580" w:lineRule="exact"/>
              <w:jc w:val="center"/>
              <w:rPr>
                <w:rFonts w:cs="方正仿宋_GBK"/>
                <w:snapToGrid w:val="0"/>
                <w:sz w:val="24"/>
                <w:szCs w:val="24"/>
                <w:highlight w:val="none"/>
              </w:rPr>
            </w:pPr>
            <w:r>
              <w:rPr>
                <w:rFonts w:hint="eastAsia" w:cs="方正仿宋_GBK"/>
                <w:snapToGrid w:val="0"/>
                <w:sz w:val="24"/>
                <w:szCs w:val="24"/>
                <w:highlight w:val="none"/>
              </w:rPr>
              <w:t>患者</w:t>
            </w:r>
          </w:p>
        </w:tc>
        <w:tc>
          <w:tcPr>
            <w:tcW w:w="1996" w:type="dxa"/>
            <w:shd w:val="clear" w:color="auto" w:fill="auto"/>
            <w:noWrap/>
            <w:vAlign w:val="center"/>
          </w:tcPr>
          <w:p>
            <w:pPr>
              <w:autoSpaceDE/>
              <w:autoSpaceDN/>
              <w:spacing w:line="580" w:lineRule="exact"/>
              <w:jc w:val="center"/>
              <w:rPr>
                <w:rFonts w:cs="方正仿宋_GBK"/>
                <w:snapToGrid w:val="0"/>
                <w:sz w:val="24"/>
                <w:szCs w:val="24"/>
                <w:highlight w:val="none"/>
              </w:rPr>
            </w:pPr>
            <w:r>
              <w:rPr>
                <w:rFonts w:cs="方正仿宋_GBK"/>
                <w:snapToGrid w:val="0"/>
                <w:sz w:val="24"/>
                <w:szCs w:val="24"/>
                <w:highlight w:val="none"/>
              </w:rPr>
              <w:t>2022</w:t>
            </w:r>
            <w:r>
              <w:rPr>
                <w:rFonts w:hint="eastAsia" w:cs="方正仿宋_GBK"/>
                <w:snapToGrid w:val="0"/>
                <w:sz w:val="24"/>
                <w:szCs w:val="24"/>
                <w:highlight w:val="none"/>
              </w:rPr>
              <w:t>年二季度至2</w:t>
            </w:r>
            <w:r>
              <w:rPr>
                <w:rFonts w:cs="方正仿宋_GBK"/>
                <w:snapToGrid w:val="0"/>
                <w:sz w:val="24"/>
                <w:szCs w:val="24"/>
                <w:highlight w:val="none"/>
              </w:rPr>
              <w:t>025</w:t>
            </w:r>
            <w:r>
              <w:rPr>
                <w:rFonts w:hint="eastAsia" w:cs="方正仿宋_GBK"/>
                <w:snapToGrid w:val="0"/>
                <w:sz w:val="24"/>
                <w:szCs w:val="24"/>
                <w:highlight w:val="none"/>
              </w:rPr>
              <w:t>年一季度</w:t>
            </w:r>
          </w:p>
        </w:tc>
        <w:tc>
          <w:tcPr>
            <w:tcW w:w="1996" w:type="dxa"/>
            <w:vAlign w:val="center"/>
          </w:tcPr>
          <w:p>
            <w:pPr>
              <w:autoSpaceDE/>
              <w:autoSpaceDN/>
              <w:spacing w:line="580" w:lineRule="exact"/>
              <w:jc w:val="center"/>
              <w:rPr>
                <w:rFonts w:cs="方正仿宋_GBK"/>
                <w:snapToGrid w:val="0"/>
                <w:sz w:val="24"/>
                <w:szCs w:val="24"/>
                <w:highlight w:val="none"/>
              </w:rPr>
            </w:pPr>
            <w:r>
              <w:rPr>
                <w:rFonts w:hint="eastAsia" w:cs="方正仿宋_GBK"/>
                <w:snapToGrid w:val="0"/>
                <w:sz w:val="24"/>
                <w:szCs w:val="24"/>
                <w:highlight w:val="none"/>
              </w:rPr>
              <w:t>每季度至少1</w:t>
            </w:r>
            <w:r>
              <w:rPr>
                <w:rFonts w:cs="方正仿宋_GBK"/>
                <w:snapToGrid w:val="0"/>
                <w:sz w:val="24"/>
                <w:szCs w:val="24"/>
                <w:highlight w:val="none"/>
              </w:rPr>
              <w:t>550</w:t>
            </w:r>
            <w:r>
              <w:rPr>
                <w:rFonts w:hint="eastAsia" w:cs="方正仿宋_GBK"/>
                <w:snapToGrid w:val="0"/>
                <w:sz w:val="24"/>
                <w:szCs w:val="24"/>
                <w:highlight w:val="none"/>
              </w:rPr>
              <w:t>样本量</w:t>
            </w:r>
          </w:p>
        </w:tc>
        <w:tc>
          <w:tcPr>
            <w:tcW w:w="4930" w:type="dxa"/>
            <w:shd w:val="clear" w:color="auto" w:fill="auto"/>
            <w:noWrap/>
            <w:vAlign w:val="center"/>
          </w:tcPr>
          <w:p>
            <w:pPr>
              <w:autoSpaceDE/>
              <w:autoSpaceDN/>
              <w:spacing w:line="580" w:lineRule="exact"/>
              <w:rPr>
                <w:rFonts w:cs="方正仿宋_GBK"/>
                <w:snapToGrid w:val="0"/>
                <w:sz w:val="24"/>
                <w:szCs w:val="24"/>
                <w:highlight w:val="none"/>
              </w:rPr>
            </w:pPr>
            <w:r>
              <w:rPr>
                <w:rFonts w:hint="eastAsia" w:cs="方正仿宋_GBK"/>
                <w:snapToGrid w:val="0"/>
                <w:sz w:val="24"/>
                <w:szCs w:val="24"/>
                <w:highlight w:val="none"/>
              </w:rPr>
              <w:t>门诊患者≥</w:t>
            </w:r>
            <w:r>
              <w:rPr>
                <w:rFonts w:cs="方正仿宋_GBK"/>
                <w:snapToGrid w:val="0"/>
                <w:sz w:val="24"/>
                <w:szCs w:val="24"/>
                <w:highlight w:val="none"/>
              </w:rPr>
              <w:t>750</w:t>
            </w:r>
            <w:r>
              <w:rPr>
                <w:rFonts w:hint="eastAsia" w:cs="方正仿宋_GBK"/>
                <w:snapToGrid w:val="0"/>
                <w:sz w:val="24"/>
                <w:szCs w:val="24"/>
                <w:highlight w:val="none"/>
              </w:rPr>
              <w:t>，住院患者≥</w:t>
            </w:r>
            <w:r>
              <w:rPr>
                <w:rFonts w:cs="方正仿宋_GBK"/>
                <w:snapToGrid w:val="0"/>
                <w:sz w:val="24"/>
                <w:szCs w:val="24"/>
                <w:highlight w:val="none"/>
              </w:rPr>
              <w:t>500</w:t>
            </w:r>
            <w:r>
              <w:rPr>
                <w:rFonts w:hint="eastAsia" w:cs="方正仿宋_GBK"/>
                <w:snapToGrid w:val="0"/>
                <w:sz w:val="24"/>
                <w:szCs w:val="24"/>
                <w:highlight w:val="none"/>
              </w:rPr>
              <w:t>，出院患者≥</w:t>
            </w:r>
            <w:r>
              <w:rPr>
                <w:rFonts w:cs="方正仿宋_GBK"/>
                <w:snapToGrid w:val="0"/>
                <w:sz w:val="24"/>
                <w:szCs w:val="24"/>
                <w:highlight w:val="none"/>
              </w:rPr>
              <w:t>300</w:t>
            </w:r>
          </w:p>
          <w:p>
            <w:pPr>
              <w:autoSpaceDE/>
              <w:autoSpaceDN/>
              <w:spacing w:line="580" w:lineRule="exact"/>
              <w:rPr>
                <w:rFonts w:cs="方正仿宋_GBK"/>
                <w:snapToGrid w:val="0"/>
                <w:sz w:val="24"/>
                <w:szCs w:val="24"/>
                <w:highlight w:val="none"/>
              </w:rPr>
            </w:pPr>
            <w:r>
              <w:rPr>
                <w:rFonts w:hint="eastAsia" w:cs="方正仿宋_GBK"/>
                <w:snapToGrid w:val="0"/>
                <w:sz w:val="24"/>
                <w:szCs w:val="24"/>
                <w:highlight w:val="none"/>
              </w:rPr>
              <w:t>每季度至少分开调查2次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996" w:type="dxa"/>
            <w:shd w:val="clear" w:color="auto" w:fill="auto"/>
            <w:noWrap/>
            <w:vAlign w:val="center"/>
          </w:tcPr>
          <w:p>
            <w:pPr>
              <w:autoSpaceDE/>
              <w:autoSpaceDN/>
              <w:spacing w:line="580" w:lineRule="exact"/>
              <w:jc w:val="center"/>
              <w:rPr>
                <w:rFonts w:cs="方正仿宋_GBK"/>
                <w:snapToGrid w:val="0"/>
                <w:sz w:val="24"/>
                <w:szCs w:val="24"/>
                <w:highlight w:val="none"/>
              </w:rPr>
            </w:pPr>
            <w:r>
              <w:rPr>
                <w:rFonts w:hint="eastAsia" w:cs="方正仿宋_GBK"/>
                <w:snapToGrid w:val="0"/>
                <w:sz w:val="24"/>
                <w:szCs w:val="24"/>
                <w:highlight w:val="none"/>
              </w:rPr>
              <w:t>员工</w:t>
            </w:r>
          </w:p>
        </w:tc>
        <w:tc>
          <w:tcPr>
            <w:tcW w:w="1996" w:type="dxa"/>
            <w:shd w:val="clear" w:color="auto" w:fill="auto"/>
            <w:noWrap/>
            <w:vAlign w:val="center"/>
          </w:tcPr>
          <w:p>
            <w:pPr>
              <w:autoSpaceDE/>
              <w:autoSpaceDN/>
              <w:spacing w:line="580" w:lineRule="exact"/>
              <w:jc w:val="center"/>
              <w:rPr>
                <w:rFonts w:cs="方正仿宋_GBK"/>
                <w:snapToGrid w:val="0"/>
                <w:sz w:val="24"/>
                <w:szCs w:val="24"/>
                <w:highlight w:val="none"/>
              </w:rPr>
            </w:pPr>
            <w:r>
              <w:rPr>
                <w:rFonts w:hint="eastAsia" w:cs="方正仿宋_GBK"/>
                <w:snapToGrid w:val="0"/>
                <w:sz w:val="24"/>
                <w:szCs w:val="24"/>
                <w:highlight w:val="none"/>
              </w:rPr>
              <w:t>2</w:t>
            </w:r>
            <w:r>
              <w:rPr>
                <w:rFonts w:cs="方正仿宋_GBK"/>
                <w:snapToGrid w:val="0"/>
                <w:sz w:val="24"/>
                <w:szCs w:val="24"/>
                <w:highlight w:val="none"/>
              </w:rPr>
              <w:t>022</w:t>
            </w:r>
            <w:r>
              <w:rPr>
                <w:rFonts w:hint="eastAsia" w:cs="方正仿宋_GBK"/>
                <w:snapToGrid w:val="0"/>
                <w:sz w:val="24"/>
                <w:szCs w:val="24"/>
                <w:highlight w:val="none"/>
              </w:rPr>
              <w:t>年-</w:t>
            </w:r>
            <w:r>
              <w:rPr>
                <w:rFonts w:cs="方正仿宋_GBK"/>
                <w:snapToGrid w:val="0"/>
                <w:sz w:val="24"/>
                <w:szCs w:val="24"/>
                <w:highlight w:val="none"/>
              </w:rPr>
              <w:t>2025</w:t>
            </w:r>
            <w:r>
              <w:rPr>
                <w:rFonts w:hint="eastAsia" w:cs="方正仿宋_GBK"/>
                <w:snapToGrid w:val="0"/>
                <w:sz w:val="24"/>
                <w:szCs w:val="24"/>
                <w:highlight w:val="none"/>
              </w:rPr>
              <w:t>年</w:t>
            </w:r>
          </w:p>
        </w:tc>
        <w:tc>
          <w:tcPr>
            <w:tcW w:w="1996" w:type="dxa"/>
            <w:vAlign w:val="center"/>
          </w:tcPr>
          <w:p>
            <w:pPr>
              <w:autoSpaceDE/>
              <w:autoSpaceDN/>
              <w:spacing w:line="580" w:lineRule="exact"/>
              <w:jc w:val="center"/>
              <w:rPr>
                <w:rFonts w:cs="方正仿宋_GBK"/>
                <w:snapToGrid w:val="0"/>
                <w:sz w:val="24"/>
                <w:szCs w:val="24"/>
                <w:highlight w:val="none"/>
              </w:rPr>
            </w:pPr>
            <w:r>
              <w:rPr>
                <w:rFonts w:hint="eastAsia" w:cs="方正仿宋_GBK"/>
                <w:snapToGrid w:val="0"/>
                <w:sz w:val="24"/>
                <w:szCs w:val="24"/>
                <w:highlight w:val="none"/>
              </w:rPr>
              <w:t>每期</w:t>
            </w:r>
            <w:r>
              <w:rPr>
                <w:rFonts w:cs="方正仿宋_GBK"/>
                <w:snapToGrid w:val="0"/>
                <w:sz w:val="24"/>
                <w:szCs w:val="24"/>
                <w:highlight w:val="none"/>
              </w:rPr>
              <w:t>450</w:t>
            </w:r>
            <w:r>
              <w:rPr>
                <w:rFonts w:hint="eastAsia" w:cs="方正仿宋_GBK"/>
                <w:snapToGrid w:val="0"/>
                <w:sz w:val="24"/>
                <w:szCs w:val="24"/>
                <w:highlight w:val="none"/>
              </w:rPr>
              <w:t>样本量</w:t>
            </w:r>
          </w:p>
        </w:tc>
        <w:tc>
          <w:tcPr>
            <w:tcW w:w="4930" w:type="dxa"/>
            <w:shd w:val="clear" w:color="auto" w:fill="auto"/>
            <w:noWrap/>
            <w:vAlign w:val="center"/>
          </w:tcPr>
          <w:p>
            <w:pPr>
              <w:autoSpaceDE/>
              <w:autoSpaceDN/>
              <w:spacing w:line="580" w:lineRule="exact"/>
              <w:jc w:val="both"/>
              <w:rPr>
                <w:rFonts w:cs="方正仿宋_GBK"/>
                <w:snapToGrid w:val="0"/>
                <w:sz w:val="24"/>
                <w:szCs w:val="24"/>
                <w:highlight w:val="none"/>
              </w:rPr>
            </w:pPr>
            <w:r>
              <w:rPr>
                <w:rFonts w:hint="eastAsia" w:cs="方正仿宋_GBK"/>
                <w:snapToGrid w:val="0"/>
                <w:sz w:val="24"/>
                <w:szCs w:val="24"/>
                <w:highlight w:val="none"/>
              </w:rPr>
              <w:t>要求覆盖医、护、药、技、行政后勤等不同岗位，调查结果具有统计意义</w:t>
            </w:r>
          </w:p>
        </w:tc>
      </w:tr>
    </w:tbl>
    <w:p>
      <w:pPr>
        <w:pStyle w:val="19"/>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（六）三甲助审</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综合根据《三级医院评审标准（</w:t>
      </w:r>
      <w:r>
        <w:rPr>
          <w:rFonts w:ascii="方正仿宋_GBK" w:hAnsi="方正仿宋_GBK" w:eastAsia="方正仿宋_GBK" w:cs="方正仿宋_GBK"/>
          <w:snapToGrid w:val="0"/>
          <w:sz w:val="32"/>
          <w:szCs w:val="32"/>
          <w:highlight w:val="none"/>
        </w:rPr>
        <w:t>2020年版）广东省实施细则》的有关“开展第三方社会调查与评价”要求，解读包含了针对各评审要点对应的评审文件及所需要配合完成的各项任务工作，</w:t>
      </w:r>
      <w:r>
        <w:rPr>
          <w:rFonts w:hint="eastAsia" w:ascii="方正仿宋_GBK" w:hAnsi="方正仿宋_GBK" w:eastAsia="方正仿宋_GBK" w:cs="方正仿宋_GBK"/>
          <w:snapToGrid w:val="0"/>
          <w:sz w:val="32"/>
          <w:szCs w:val="32"/>
          <w:highlight w:val="none"/>
        </w:rPr>
        <w:t>为医院提供各评审要点对应的评审文件及所需要配合完成的各项任务工作，</w:t>
      </w:r>
      <w:r>
        <w:rPr>
          <w:rFonts w:ascii="方正仿宋_GBK" w:hAnsi="方正仿宋_GBK" w:eastAsia="方正仿宋_GBK" w:cs="方正仿宋_GBK"/>
          <w:snapToGrid w:val="0"/>
          <w:sz w:val="32"/>
          <w:szCs w:val="32"/>
          <w:highlight w:val="none"/>
        </w:rPr>
        <w:t>有参与做过这方面工作的调研机构可以优先考虑。</w:t>
      </w:r>
    </w:p>
    <w:p>
      <w:pPr>
        <w:pStyle w:val="19"/>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（七）</w:t>
      </w:r>
      <w:r>
        <w:rPr>
          <w:rFonts w:ascii="方正黑体_GBK" w:hAnsi="方正黑体_GBK" w:eastAsia="方正黑体_GBK" w:cs="方正黑体_GBK"/>
          <w:sz w:val="32"/>
          <w:szCs w:val="32"/>
          <w:highlight w:val="none"/>
        </w:rPr>
        <w:t>PDCA整改跟进</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问题发现后，很难由归口部门全部完成，更多需要将问题分派到其他责任部门，通过将问题分析及后续整改，一起去推动落地解决，并进行长期跟踪验证措施落地效果。</w:t>
      </w:r>
    </w:p>
    <w:p>
      <w:pPr>
        <w:pStyle w:val="19"/>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（八）预期成效</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1.通过横向、纵向综合对比分析，全面掌握医院满意度水平</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科学测量患者满意度，对比不同系统、不同时期的表现，全面掌握医院整体满意度水平，探索患者满意度变化的规律</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2.通过量化技术分析和患者观念的分析，明确医院短板指标</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通过因子分析、回归分析等统计方法，并结合患者对于满意度驱动因素的表述，以及激励、保健因子的分析，锁定医院短板，明确医院整改方向。</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3.制定符合医院实际的改善建议</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由满意度测评、短板提升，为医院提供切实有效的改善建议。</w:t>
      </w:r>
    </w:p>
    <w:p>
      <w:pPr>
        <w:pStyle w:val="19"/>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（九）医疗服务流程检测</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从专家视角切入，体验挖掘患者就医短板，并提供同行优秀经验做参考。</w:t>
      </w:r>
    </w:p>
    <w:p>
      <w:pPr>
        <w:pStyle w:val="19"/>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（十）项目成果交付</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患者满意度：</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《惠州市第六人民医院患者满意度测评数据分析报告》</w:t>
      </w:r>
      <w:r>
        <w:rPr>
          <w:rFonts w:ascii="方正仿宋_GBK" w:hAnsi="方正仿宋_GBK" w:eastAsia="方正仿宋_GBK" w:cs="方正仿宋_GBK"/>
          <w:snapToGrid w:val="0"/>
          <w:sz w:val="32"/>
          <w:szCs w:val="32"/>
          <w:highlight w:val="none"/>
        </w:rPr>
        <w:t xml:space="preserve"> Excel*4*3</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《惠州市第六人民医院患者满意度第三方测评报告》</w:t>
      </w:r>
      <w:r>
        <w:rPr>
          <w:rFonts w:ascii="方正仿宋_GBK" w:hAnsi="方正仿宋_GBK" w:eastAsia="方正仿宋_GBK" w:cs="方正仿宋_GBK"/>
          <w:snapToGrid w:val="0"/>
          <w:sz w:val="32"/>
          <w:szCs w:val="32"/>
          <w:highlight w:val="none"/>
        </w:rPr>
        <w:t xml:space="preserve"> Word*4*3</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员工满意度：</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《惠州市第六人民医院员工满意度测评数据分析报告》</w:t>
      </w:r>
      <w:r>
        <w:rPr>
          <w:rFonts w:ascii="方正仿宋_GBK" w:hAnsi="方正仿宋_GBK" w:eastAsia="方正仿宋_GBK" w:cs="方正仿宋_GBK"/>
          <w:snapToGrid w:val="0"/>
          <w:sz w:val="32"/>
          <w:szCs w:val="32"/>
          <w:highlight w:val="none"/>
        </w:rPr>
        <w:t xml:space="preserve"> Excel*4</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《惠州市第六人民医院员工满意度第三方测评报告》</w:t>
      </w:r>
      <w:r>
        <w:rPr>
          <w:rFonts w:ascii="方正仿宋_GBK" w:hAnsi="方正仿宋_GBK" w:eastAsia="方正仿宋_GBK" w:cs="方正仿宋_GBK"/>
          <w:snapToGrid w:val="0"/>
          <w:sz w:val="32"/>
          <w:szCs w:val="32"/>
          <w:highlight w:val="none"/>
        </w:rPr>
        <w:t xml:space="preserve"> Word*4</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三甲助审材料：</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《社会评价管理制度》</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《第三方满意度测评指标体系》</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《第三方满意度调查意见反馈汇总》</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《第三方满意度调查问题分析与整改登记表》</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 xml:space="preserve"> 第三方满意度调查照片、原始录音文件等其它三甲评审所需材料。</w:t>
      </w:r>
    </w:p>
    <w:p>
      <w:pPr>
        <w:pStyle w:val="19"/>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（十一）服务考核</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w:t>
      </w:r>
      <w:r>
        <w:rPr>
          <w:rFonts w:hint="eastAsia" w:ascii="方正仿宋_GBK" w:hAnsi="方正仿宋_GBK" w:eastAsia="方正仿宋_GBK" w:cs="方正仿宋_GBK"/>
          <w:snapToGrid w:val="0"/>
          <w:sz w:val="32"/>
          <w:szCs w:val="32"/>
          <w:highlight w:val="none"/>
        </w:rPr>
        <w:t>调查工作按照随机抽查为原则，保证调查结果真实、有效，在调查结束后有数据校验报告；</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2</w:t>
      </w:r>
      <w:r>
        <w:rPr>
          <w:rFonts w:ascii="方正仿宋_GBK" w:hAnsi="方正仿宋_GBK" w:eastAsia="方正仿宋_GBK" w:cs="方正仿宋_GBK"/>
          <w:snapToGrid w:val="0"/>
          <w:sz w:val="32"/>
          <w:szCs w:val="32"/>
          <w:highlight w:val="none"/>
        </w:rPr>
        <w:t>.</w:t>
      </w:r>
      <w:r>
        <w:rPr>
          <w:rFonts w:hint="eastAsia" w:ascii="方正仿宋_GBK" w:hAnsi="方正仿宋_GBK" w:eastAsia="方正仿宋_GBK" w:cs="方正仿宋_GBK"/>
          <w:snapToGrid w:val="0"/>
          <w:sz w:val="32"/>
          <w:szCs w:val="32"/>
          <w:highlight w:val="none"/>
        </w:rPr>
        <w:t>采购人有权进行监督与抽查数据真实性及准确性校验管理流程；</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3</w:t>
      </w:r>
      <w:r>
        <w:rPr>
          <w:rFonts w:ascii="方正仿宋_GBK" w:hAnsi="方正仿宋_GBK" w:eastAsia="方正仿宋_GBK" w:cs="方正仿宋_GBK"/>
          <w:snapToGrid w:val="0"/>
          <w:sz w:val="32"/>
          <w:szCs w:val="32"/>
          <w:highlight w:val="none"/>
        </w:rPr>
        <w:t>.</w:t>
      </w:r>
      <w:r>
        <w:rPr>
          <w:rFonts w:hint="eastAsia" w:ascii="方正仿宋_GBK" w:hAnsi="方正仿宋_GBK" w:eastAsia="方正仿宋_GBK" w:cs="方正仿宋_GBK"/>
          <w:snapToGrid w:val="0"/>
          <w:sz w:val="32"/>
          <w:szCs w:val="32"/>
          <w:highlight w:val="none"/>
        </w:rPr>
        <w:t>调查人员具备良好素质且经培训；调查过程不过分打扰和影响医疗就医秩序；</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4</w:t>
      </w:r>
      <w:r>
        <w:rPr>
          <w:rFonts w:ascii="方正仿宋_GBK" w:hAnsi="方正仿宋_GBK" w:eastAsia="方正仿宋_GBK" w:cs="方正仿宋_GBK"/>
          <w:snapToGrid w:val="0"/>
          <w:sz w:val="32"/>
          <w:szCs w:val="32"/>
          <w:highlight w:val="none"/>
        </w:rPr>
        <w:t>.</w:t>
      </w:r>
      <w:r>
        <w:rPr>
          <w:rFonts w:hint="eastAsia" w:ascii="方正仿宋_GBK" w:hAnsi="方正仿宋_GBK" w:eastAsia="方正仿宋_GBK" w:cs="方正仿宋_GBK"/>
          <w:snapToGrid w:val="0"/>
          <w:sz w:val="32"/>
          <w:szCs w:val="32"/>
          <w:highlight w:val="none"/>
        </w:rPr>
        <w:t>调查采集全部数据均应具备可溯源性，随时备查调查，数据不得用于任何商业活动；</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5</w:t>
      </w:r>
      <w:r>
        <w:rPr>
          <w:rFonts w:ascii="方正仿宋_GBK" w:hAnsi="方正仿宋_GBK" w:eastAsia="方正仿宋_GBK" w:cs="方正仿宋_GBK"/>
          <w:snapToGrid w:val="0"/>
          <w:sz w:val="32"/>
          <w:szCs w:val="32"/>
          <w:highlight w:val="none"/>
        </w:rPr>
        <w:t>.</w:t>
      </w:r>
      <w:r>
        <w:rPr>
          <w:rFonts w:hint="eastAsia" w:ascii="方正仿宋_GBK" w:hAnsi="方正仿宋_GBK" w:eastAsia="方正仿宋_GBK" w:cs="方正仿宋_GBK"/>
          <w:snapToGrid w:val="0"/>
          <w:sz w:val="32"/>
          <w:szCs w:val="32"/>
          <w:highlight w:val="none"/>
        </w:rPr>
        <w:t>调查采集数据所有资料及成果归采购人独家享有，任何个人及单位未经采购人同意不得引用或公开发表本调查测评成果和相关数据，妥善保管资料，负有保密义务和保密责任，否则，采购单位有权追究其法律责任。</w:t>
      </w:r>
    </w:p>
    <w:p>
      <w:pPr>
        <w:autoSpaceDE/>
        <w:autoSpaceDN/>
        <w:spacing w:line="580" w:lineRule="exact"/>
        <w:jc w:val="both"/>
        <w:outlineLvl w:val="1"/>
        <w:rPr>
          <w:rFonts w:ascii="方正楷体_GBK" w:hAnsi="方正楷体_GBK" w:eastAsia="方正楷体_GBK" w:cs="方正楷体_GBK"/>
          <w:snapToGrid w:val="0"/>
          <w:sz w:val="32"/>
          <w:szCs w:val="32"/>
          <w:highlight w:val="none"/>
        </w:rPr>
      </w:pPr>
      <w:r>
        <w:rPr>
          <w:rFonts w:hint="eastAsia" w:ascii="方正楷体_GBK" w:hAnsi="方正楷体_GBK" w:eastAsia="方正楷体_GBK" w:cs="方正楷体_GBK"/>
          <w:snapToGrid w:val="0"/>
          <w:sz w:val="32"/>
          <w:szCs w:val="32"/>
          <w:highlight w:val="none"/>
        </w:rPr>
        <w:t>四</w:t>
      </w:r>
      <w:r>
        <w:rPr>
          <w:rFonts w:ascii="方正楷体_GBK" w:hAnsi="方正楷体_GBK" w:eastAsia="方正楷体_GBK" w:cs="方正楷体_GBK"/>
          <w:snapToGrid w:val="0"/>
          <w:sz w:val="32"/>
          <w:szCs w:val="32"/>
          <w:highlight w:val="none"/>
        </w:rPr>
        <w:t>、招标项目商务要求</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w:t>
      </w:r>
      <w:r>
        <w:rPr>
          <w:rFonts w:hint="eastAsia" w:ascii="方正仿宋_GBK" w:hAnsi="方正仿宋_GBK" w:eastAsia="方正仿宋_GBK" w:cs="方正仿宋_GBK"/>
          <w:snapToGrid w:val="0"/>
          <w:sz w:val="32"/>
          <w:szCs w:val="32"/>
          <w:highlight w:val="none"/>
        </w:rPr>
        <w:t>售后服务</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1）免费提供标准电话技术支持；</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2）质量保证服务期内技术人员接到通知后30分内响应；</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3）有专业的售后服务团队协助进行调查结果报告解读；</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4）采购人对数据报告有疑问时，响应供应商应免费进行解答必要时需出具文字说明报告；</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5）响应供应商提供的数据报告不符合采购人要求，须重新调查并出具数据报告。由此产生的费用由响应供应商承担。</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交货或服务时间、地点</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项目工期要求：必须在合同签订后</w:t>
      </w:r>
      <w:r>
        <w:rPr>
          <w:rFonts w:hint="eastAsia" w:ascii="方正仿宋_GBK" w:hAnsi="方正仿宋_GBK" w:eastAsia="方正仿宋_GBK" w:cs="方正仿宋_GBK"/>
          <w:snapToGrid w:val="0"/>
          <w:sz w:val="32"/>
          <w:szCs w:val="32"/>
          <w:highlight w:val="none"/>
        </w:rPr>
        <w:t>保质保量提供</w:t>
      </w:r>
      <w:r>
        <w:rPr>
          <w:rFonts w:ascii="方正仿宋_GBK" w:hAnsi="方正仿宋_GBK" w:eastAsia="方正仿宋_GBK" w:cs="方正仿宋_GBK"/>
          <w:snapToGrid w:val="0"/>
          <w:sz w:val="32"/>
          <w:szCs w:val="32"/>
          <w:highlight w:val="none"/>
        </w:rPr>
        <w:t>服务，并承担由此产生的全部等费用。</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 xml:space="preserve">服务地点：惠州市第六人民医院。 </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3、验收要求</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验收应在采购人和中标人双方共同参与下完成，按国家有关规定、规范进行。</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4</w:t>
      </w:r>
      <w:r>
        <w:rPr>
          <w:rFonts w:hint="eastAsia" w:ascii="方正仿宋_GBK" w:hAnsi="方正仿宋_GBK" w:eastAsia="方正仿宋_GBK" w:cs="方正仿宋_GBK"/>
          <w:snapToGrid w:val="0"/>
          <w:sz w:val="32"/>
          <w:szCs w:val="32"/>
          <w:highlight w:val="none"/>
        </w:rPr>
        <w:t>、违约责任</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1）成交人所提供调查结果数据报告及质量不符合国家相关标准、行业标准、地方标准和招标文件及合同规定的，采购人有权要求成交人负责重新调查并出具调查结果数据报告，并承担由此而支付的实际费用。出具调查结果数据报告的再次交付时间超过合同交付时间提供服务的视为逾期提供服务，并承担逾期提供服务、不能提供服务的违约责任；</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2）成交人逾期提供服务的，按逾期交付调查结果数据报告部分款项计算，向采购人偿付每日千分之五的违约金，并承担采购人因此所受的损失费用。</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5</w:t>
      </w:r>
      <w:r>
        <w:rPr>
          <w:rFonts w:hint="eastAsia" w:ascii="方正仿宋_GBK" w:hAnsi="方正仿宋_GBK" w:eastAsia="方正仿宋_GBK" w:cs="方正仿宋_GBK"/>
          <w:snapToGrid w:val="0"/>
          <w:sz w:val="32"/>
          <w:szCs w:val="32"/>
          <w:highlight w:val="none"/>
        </w:rPr>
        <w:t>、项目实施人员要求</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为使项目按质、按量、按时及有序实施，本项目必须有一个完善且固定的项目实施小组及项目负责人，响应供应商须在招标文件中详细列明参与本项目的人员名单并附上其详细资料，包括学历、职称等资格证书复印件。在项目实施期间，未经采购人同意，成交供应商不得调整在响应文件中所承诺的项目实施人员，否则采购人有权终止合同，并要求成交供应商赔偿由此给采购人造成的全部损失。</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6</w:t>
      </w:r>
      <w:r>
        <w:rPr>
          <w:rFonts w:hint="eastAsia" w:ascii="方正仿宋_GBK" w:hAnsi="方正仿宋_GBK" w:eastAsia="方正仿宋_GBK" w:cs="方正仿宋_GBK"/>
          <w:snapToGrid w:val="0"/>
          <w:sz w:val="32"/>
          <w:szCs w:val="32"/>
          <w:highlight w:val="none"/>
        </w:rPr>
        <w:t>、验收标准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成交人交付的报告中需包含满意度调查评价项目以出具满意度分析报告、满意度调查统计结果。</w:t>
      </w:r>
    </w:p>
    <w:p>
      <w:pPr>
        <w:autoSpaceDE/>
        <w:autoSpaceDN/>
        <w:spacing w:line="580" w:lineRule="exact"/>
        <w:jc w:val="both"/>
        <w:outlineLvl w:val="1"/>
        <w:rPr>
          <w:rFonts w:ascii="方正楷体_GBK" w:hAnsi="方正楷体_GBK" w:eastAsia="方正楷体_GBK" w:cs="方正楷体_GBK"/>
          <w:snapToGrid w:val="0"/>
          <w:sz w:val="32"/>
          <w:szCs w:val="32"/>
          <w:highlight w:val="none"/>
        </w:rPr>
      </w:pPr>
      <w:r>
        <w:rPr>
          <w:rFonts w:hint="eastAsia" w:ascii="方正楷体_GBK" w:hAnsi="方正楷体_GBK" w:eastAsia="方正楷体_GBK" w:cs="方正楷体_GBK"/>
          <w:snapToGrid w:val="0"/>
          <w:sz w:val="32"/>
          <w:szCs w:val="32"/>
          <w:highlight w:val="none"/>
        </w:rPr>
        <w:t>五</w:t>
      </w:r>
      <w:r>
        <w:rPr>
          <w:rFonts w:ascii="方正楷体_GBK" w:hAnsi="方正楷体_GBK" w:eastAsia="方正楷体_GBK" w:cs="方正楷体_GBK"/>
          <w:snapToGrid w:val="0"/>
          <w:sz w:val="32"/>
          <w:szCs w:val="32"/>
          <w:highlight w:val="none"/>
        </w:rPr>
        <w:t>、费用结算</w:t>
      </w:r>
    </w:p>
    <w:p>
      <w:pPr>
        <w:autoSpaceDE/>
        <w:autoSpaceDN/>
        <w:spacing w:line="580" w:lineRule="exact"/>
        <w:ind w:firstLine="640" w:firstLineChars="200"/>
        <w:jc w:val="both"/>
        <w:rPr>
          <w:rFonts w:ascii="方正仿宋_GBK" w:hAnsi="方正仿宋_GBK" w:eastAsia="方正仿宋_GBK" w:cs="方正仿宋_GBK"/>
          <w:snapToGrid w:val="0"/>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highlight w:val="none"/>
          <w14:textFill>
            <w14:solidFill>
              <w14:schemeClr w14:val="tx1"/>
            </w14:solidFill>
          </w14:textFill>
        </w:rPr>
        <w:t>付款方式一：每年付</w:t>
      </w:r>
      <w:r>
        <w:rPr>
          <w:rFonts w:ascii="方正仿宋_GBK" w:hAnsi="方正仿宋_GBK" w:eastAsia="方正仿宋_GBK" w:cs="方正仿宋_GBK"/>
          <w:snapToGrid w:val="0"/>
          <w:color w:val="000000" w:themeColor="text1"/>
          <w:sz w:val="32"/>
          <w:szCs w:val="32"/>
          <w:highlight w:val="none"/>
          <w14:textFill>
            <w14:solidFill>
              <w14:schemeClr w14:val="tx1"/>
            </w14:solidFill>
          </w14:textFill>
        </w:rPr>
        <w:t>1次，即按年单价进行结算</w:t>
      </w:r>
    </w:p>
    <w:p>
      <w:pPr>
        <w:autoSpaceDE/>
        <w:autoSpaceDN/>
        <w:spacing w:line="580" w:lineRule="exact"/>
        <w:ind w:firstLine="640" w:firstLineChars="200"/>
        <w:jc w:val="both"/>
        <w:rPr>
          <w:rFonts w:ascii="方正仿宋_GBK" w:hAnsi="方正仿宋_GBK" w:eastAsia="方正仿宋_GBK" w:cs="方正仿宋_GBK"/>
          <w:snapToGrid w:val="0"/>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highlight w:val="none"/>
          <w14:textFill>
            <w14:solidFill>
              <w14:schemeClr w14:val="tx1"/>
            </w14:solidFill>
          </w14:textFill>
        </w:rPr>
        <w:t>三年合同：共付款</w:t>
      </w:r>
      <w:r>
        <w:rPr>
          <w:rFonts w:hint="eastAsia" w:ascii="方正仿宋_GBK" w:hAnsi="方正仿宋_GBK" w:eastAsia="方正仿宋_GBK" w:cs="方正仿宋_GBK"/>
          <w:snapToGrid w:val="0"/>
          <w:color w:val="000000" w:themeColor="text1"/>
          <w:sz w:val="32"/>
          <w:szCs w:val="32"/>
          <w:highlight w:val="none"/>
          <w:lang w:val="en-US" w:eastAsia="zh-CN"/>
          <w14:textFill>
            <w14:solidFill>
              <w14:schemeClr w14:val="tx1"/>
            </w14:solidFill>
          </w14:textFill>
        </w:rPr>
        <w:t>3</w:t>
      </w:r>
      <w:r>
        <w:rPr>
          <w:rFonts w:ascii="方正仿宋_GBK" w:hAnsi="方正仿宋_GBK" w:eastAsia="方正仿宋_GBK" w:cs="方正仿宋_GBK"/>
          <w:snapToGrid w:val="0"/>
          <w:color w:val="000000" w:themeColor="text1"/>
          <w:sz w:val="32"/>
          <w:szCs w:val="32"/>
          <w:highlight w:val="none"/>
          <w14:textFill>
            <w14:solidFill>
              <w14:schemeClr w14:val="tx1"/>
            </w14:solidFill>
          </w14:textFill>
        </w:rPr>
        <w:t>次，每年项目完结后付款。</w:t>
      </w:r>
    </w:p>
    <w:p>
      <w:pPr>
        <w:autoSpaceDE/>
        <w:autoSpaceDN/>
        <w:spacing w:line="580" w:lineRule="exact"/>
        <w:jc w:val="both"/>
        <w:outlineLvl w:val="1"/>
        <w:rPr>
          <w:rFonts w:ascii="方正楷体_GBK" w:hAnsi="方正楷体_GBK" w:eastAsia="方正楷体_GBK" w:cs="方正楷体_GBK"/>
          <w:snapToGrid w:val="0"/>
          <w:sz w:val="32"/>
          <w:szCs w:val="32"/>
          <w:highlight w:val="none"/>
        </w:rPr>
      </w:pPr>
      <w:r>
        <w:rPr>
          <w:rFonts w:hint="eastAsia" w:ascii="方正楷体_GBK" w:hAnsi="方正楷体_GBK" w:eastAsia="方正楷体_GBK" w:cs="方正楷体_GBK"/>
          <w:snapToGrid w:val="0"/>
          <w:sz w:val="32"/>
          <w:szCs w:val="32"/>
          <w:highlight w:val="none"/>
        </w:rPr>
        <w:t>六</w:t>
      </w:r>
      <w:r>
        <w:rPr>
          <w:rFonts w:ascii="方正楷体_GBK" w:hAnsi="方正楷体_GBK" w:eastAsia="方正楷体_GBK" w:cs="方正楷体_GBK"/>
          <w:snapToGrid w:val="0"/>
          <w:sz w:val="32"/>
          <w:szCs w:val="32"/>
          <w:highlight w:val="none"/>
        </w:rPr>
        <w:t>、评标方法：综合评标法</w:t>
      </w:r>
    </w:p>
    <w:p>
      <w:pPr>
        <w:pStyle w:val="11"/>
        <w:spacing w:before="3"/>
        <w:ind w:left="0"/>
        <w:rPr>
          <w:rFonts w:ascii="仿宋" w:hAnsi="仿宋" w:eastAsia="仿宋"/>
          <w:b/>
          <w:sz w:val="22"/>
          <w:highlight w:val="none"/>
        </w:rPr>
      </w:pP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本次评标采用综合评分法，即是指在最大限度地满足</w:t>
      </w:r>
      <w:r>
        <w:rPr>
          <w:rFonts w:hint="eastAsia" w:ascii="方正仿宋_GBK" w:hAnsi="方正仿宋_GBK" w:eastAsia="方正仿宋_GBK" w:cs="方正仿宋_GBK"/>
          <w:snapToGrid w:val="0"/>
          <w:sz w:val="32"/>
          <w:szCs w:val="32"/>
          <w:highlight w:val="none"/>
        </w:rPr>
        <w:t>磋商</w:t>
      </w:r>
      <w:r>
        <w:rPr>
          <w:rFonts w:ascii="方正仿宋_GBK" w:hAnsi="方正仿宋_GBK" w:eastAsia="方正仿宋_GBK" w:cs="方正仿宋_GBK"/>
          <w:snapToGrid w:val="0"/>
          <w:sz w:val="32"/>
          <w:szCs w:val="32"/>
          <w:highlight w:val="none"/>
        </w:rPr>
        <w:t>文件实质性要求前提下，按照</w:t>
      </w:r>
      <w:r>
        <w:rPr>
          <w:rFonts w:hint="eastAsia" w:ascii="方正仿宋_GBK" w:hAnsi="方正仿宋_GBK" w:eastAsia="方正仿宋_GBK" w:cs="方正仿宋_GBK"/>
          <w:snapToGrid w:val="0"/>
          <w:sz w:val="32"/>
          <w:szCs w:val="32"/>
          <w:highlight w:val="none"/>
        </w:rPr>
        <w:t>磋商</w:t>
      </w:r>
      <w:r>
        <w:rPr>
          <w:rFonts w:ascii="方正仿宋_GBK" w:hAnsi="方正仿宋_GBK" w:eastAsia="方正仿宋_GBK" w:cs="方正仿宋_GBK"/>
          <w:snapToGrid w:val="0"/>
          <w:sz w:val="32"/>
          <w:szCs w:val="32"/>
          <w:highlight w:val="none"/>
        </w:rPr>
        <w:t>文件中规定的各项因素进行综合评审后，以评标总得分最高的</w:t>
      </w:r>
      <w:r>
        <w:rPr>
          <w:rFonts w:hint="eastAsia" w:ascii="方正仿宋_GBK" w:hAnsi="方正仿宋_GBK" w:eastAsia="方正仿宋_GBK" w:cs="方正仿宋_GBK"/>
          <w:snapToGrid w:val="0"/>
          <w:sz w:val="32"/>
          <w:szCs w:val="32"/>
          <w:highlight w:val="none"/>
        </w:rPr>
        <w:t>报价</w:t>
      </w:r>
      <w:r>
        <w:rPr>
          <w:rFonts w:ascii="方正仿宋_GBK" w:hAnsi="方正仿宋_GBK" w:eastAsia="方正仿宋_GBK" w:cs="方正仿宋_GBK"/>
          <w:snapToGrid w:val="0"/>
          <w:sz w:val="32"/>
          <w:szCs w:val="32"/>
          <w:highlight w:val="none"/>
        </w:rPr>
        <w:t>人作为</w:t>
      </w:r>
      <w:r>
        <w:rPr>
          <w:rFonts w:hint="eastAsia" w:ascii="方正仿宋_GBK" w:hAnsi="方正仿宋_GBK" w:eastAsia="方正仿宋_GBK" w:cs="方正仿宋_GBK"/>
          <w:snapToGrid w:val="0"/>
          <w:sz w:val="32"/>
          <w:szCs w:val="32"/>
          <w:highlight w:val="none"/>
        </w:rPr>
        <w:t>第一成交</w:t>
      </w:r>
      <w:r>
        <w:rPr>
          <w:rFonts w:ascii="方正仿宋_GBK" w:hAnsi="方正仿宋_GBK" w:eastAsia="方正仿宋_GBK" w:cs="方正仿宋_GBK"/>
          <w:snapToGrid w:val="0"/>
          <w:sz w:val="32"/>
          <w:szCs w:val="32"/>
          <w:highlight w:val="none"/>
        </w:rPr>
        <w:t>候选人的评标方法。</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综合评分的主要因素是：价格、技术、财务状况、信誉、业绩、服务、对招标文件的响应程度，以及相应的比重或权值等。</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w:t>
      </w:r>
      <w:r>
        <w:rPr>
          <w:rFonts w:hint="eastAsia" w:ascii="方正仿宋_GBK" w:hAnsi="方正仿宋_GBK" w:eastAsia="方正仿宋_GBK" w:cs="方正仿宋_GBK"/>
          <w:snapToGrid w:val="0"/>
          <w:sz w:val="32"/>
          <w:szCs w:val="32"/>
          <w:highlight w:val="none"/>
        </w:rPr>
        <w:t>）技术评分</w:t>
      </w:r>
      <w:r>
        <w:rPr>
          <w:rFonts w:ascii="方正仿宋_GBK" w:hAnsi="方正仿宋_GBK" w:eastAsia="方正仿宋_GBK" w:cs="方正仿宋_GBK"/>
          <w:snapToGrid w:val="0"/>
          <w:sz w:val="32"/>
          <w:szCs w:val="32"/>
          <w:highlight w:val="none"/>
        </w:rPr>
        <w:t>；</w:t>
      </w:r>
      <w:r>
        <w:rPr>
          <w:rFonts w:hint="eastAsia" w:ascii="方正仿宋_GBK" w:hAnsi="方正仿宋_GBK" w:eastAsia="方正仿宋_GBK" w:cs="方正仿宋_GBK"/>
          <w:snapToGrid w:val="0"/>
          <w:sz w:val="32"/>
          <w:szCs w:val="32"/>
          <w:highlight w:val="none"/>
        </w:rPr>
        <w:t>磋商小组</w:t>
      </w:r>
      <w:r>
        <w:rPr>
          <w:rFonts w:ascii="方正仿宋_GBK" w:hAnsi="方正仿宋_GBK" w:eastAsia="方正仿宋_GBK" w:cs="方正仿宋_GBK"/>
          <w:snapToGrid w:val="0"/>
          <w:sz w:val="32"/>
          <w:szCs w:val="32"/>
          <w:highlight w:val="none"/>
        </w:rPr>
        <w:t>就</w:t>
      </w:r>
      <w:r>
        <w:rPr>
          <w:rFonts w:hint="eastAsia" w:ascii="方正仿宋_GBK" w:hAnsi="方正仿宋_GBK" w:eastAsia="方正仿宋_GBK" w:cs="方正仿宋_GBK"/>
          <w:snapToGrid w:val="0"/>
          <w:sz w:val="32"/>
          <w:szCs w:val="32"/>
          <w:highlight w:val="none"/>
        </w:rPr>
        <w:t>报价</w:t>
      </w:r>
      <w:r>
        <w:rPr>
          <w:rFonts w:ascii="方正仿宋_GBK" w:hAnsi="方正仿宋_GBK" w:eastAsia="方正仿宋_GBK" w:cs="方正仿宋_GBK"/>
          <w:snapToGrid w:val="0"/>
          <w:sz w:val="32"/>
          <w:szCs w:val="32"/>
          <w:highlight w:val="none"/>
        </w:rPr>
        <w:t>人对技术要求的响应程度、技术水平、技术服务能力等因素进行打分；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商务</w:t>
      </w:r>
      <w:r>
        <w:rPr>
          <w:rFonts w:hint="eastAsia" w:ascii="方正仿宋_GBK" w:hAnsi="方正仿宋_GBK" w:eastAsia="方正仿宋_GBK" w:cs="方正仿宋_GBK"/>
          <w:snapToGrid w:val="0"/>
          <w:sz w:val="32"/>
          <w:szCs w:val="32"/>
          <w:highlight w:val="none"/>
        </w:rPr>
        <w:t>评分</w:t>
      </w:r>
      <w:r>
        <w:rPr>
          <w:rFonts w:ascii="方正仿宋_GBK" w:hAnsi="方正仿宋_GBK" w:eastAsia="方正仿宋_GBK" w:cs="方正仿宋_GBK"/>
          <w:snapToGrid w:val="0"/>
          <w:sz w:val="32"/>
          <w:szCs w:val="32"/>
          <w:highlight w:val="none"/>
        </w:rPr>
        <w:t>；</w:t>
      </w:r>
      <w:r>
        <w:rPr>
          <w:rFonts w:hint="eastAsia" w:ascii="方正仿宋_GBK" w:hAnsi="方正仿宋_GBK" w:eastAsia="方正仿宋_GBK" w:cs="方正仿宋_GBK"/>
          <w:snapToGrid w:val="0"/>
          <w:sz w:val="32"/>
          <w:szCs w:val="32"/>
          <w:highlight w:val="none"/>
        </w:rPr>
        <w:t>磋商小组</w:t>
      </w:r>
      <w:r>
        <w:rPr>
          <w:rFonts w:ascii="方正仿宋_GBK" w:hAnsi="方正仿宋_GBK" w:eastAsia="方正仿宋_GBK" w:cs="方正仿宋_GBK"/>
          <w:snapToGrid w:val="0"/>
          <w:sz w:val="32"/>
          <w:szCs w:val="32"/>
          <w:highlight w:val="none"/>
        </w:rPr>
        <w:t>就</w:t>
      </w:r>
      <w:r>
        <w:rPr>
          <w:rFonts w:hint="eastAsia" w:ascii="方正仿宋_GBK" w:hAnsi="方正仿宋_GBK" w:eastAsia="方正仿宋_GBK" w:cs="方正仿宋_GBK"/>
          <w:snapToGrid w:val="0"/>
          <w:sz w:val="32"/>
          <w:szCs w:val="32"/>
          <w:highlight w:val="none"/>
        </w:rPr>
        <w:t>报价</w:t>
      </w:r>
      <w:r>
        <w:rPr>
          <w:rFonts w:ascii="方正仿宋_GBK" w:hAnsi="方正仿宋_GBK" w:eastAsia="方正仿宋_GBK" w:cs="方正仿宋_GBK"/>
          <w:snapToGrid w:val="0"/>
          <w:sz w:val="32"/>
          <w:szCs w:val="32"/>
          <w:highlight w:val="none"/>
        </w:rPr>
        <w:t>人对商务要求的响应程度、履约能力、业绩、信誉、服务承诺等因素进行打分；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3）</w:t>
      </w:r>
      <w:r>
        <w:rPr>
          <w:rFonts w:ascii="方正仿宋_GBK" w:hAnsi="方正仿宋_GBK" w:eastAsia="方正仿宋_GBK" w:cs="方正仿宋_GBK"/>
          <w:snapToGrid w:val="0"/>
          <w:sz w:val="32"/>
          <w:szCs w:val="32"/>
          <w:highlight w:val="none"/>
        </w:rPr>
        <w:t>价格评</w:t>
      </w:r>
      <w:r>
        <w:rPr>
          <w:rFonts w:hint="eastAsia" w:ascii="方正仿宋_GBK" w:hAnsi="方正仿宋_GBK" w:eastAsia="方正仿宋_GBK" w:cs="方正仿宋_GBK"/>
          <w:snapToGrid w:val="0"/>
          <w:sz w:val="32"/>
          <w:szCs w:val="32"/>
          <w:highlight w:val="none"/>
        </w:rPr>
        <w:t>分</w:t>
      </w:r>
      <w:r>
        <w:rPr>
          <w:rFonts w:ascii="方正仿宋_GBK" w:hAnsi="方正仿宋_GBK" w:eastAsia="方正仿宋_GBK" w:cs="方正仿宋_GBK"/>
          <w:snapToGrid w:val="0"/>
          <w:sz w:val="32"/>
          <w:szCs w:val="32"/>
          <w:highlight w:val="none"/>
        </w:rPr>
        <w:t>；</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将</w:t>
      </w:r>
      <w:r>
        <w:rPr>
          <w:rFonts w:hint="eastAsia" w:ascii="方正仿宋_GBK" w:hAnsi="方正仿宋_GBK" w:eastAsia="方正仿宋_GBK" w:cs="方正仿宋_GBK"/>
          <w:snapToGrid w:val="0"/>
          <w:sz w:val="32"/>
          <w:szCs w:val="32"/>
          <w:highlight w:val="none"/>
        </w:rPr>
        <w:t>磋商小组</w:t>
      </w:r>
      <w:r>
        <w:rPr>
          <w:rFonts w:ascii="方正仿宋_GBK" w:hAnsi="方正仿宋_GBK" w:eastAsia="方正仿宋_GBK" w:cs="方正仿宋_GBK"/>
          <w:snapToGrid w:val="0"/>
          <w:sz w:val="32"/>
          <w:szCs w:val="32"/>
          <w:highlight w:val="none"/>
        </w:rPr>
        <w:t>评审后的所有</w:t>
      </w:r>
      <w:r>
        <w:rPr>
          <w:rFonts w:hint="eastAsia" w:ascii="方正仿宋_GBK" w:hAnsi="方正仿宋_GBK" w:eastAsia="方正仿宋_GBK" w:cs="方正仿宋_GBK"/>
          <w:snapToGrid w:val="0"/>
          <w:sz w:val="32"/>
          <w:szCs w:val="32"/>
          <w:highlight w:val="none"/>
        </w:rPr>
        <w:t>报价</w:t>
      </w:r>
      <w:r>
        <w:rPr>
          <w:rFonts w:ascii="方正仿宋_GBK" w:hAnsi="方正仿宋_GBK" w:eastAsia="方正仿宋_GBK" w:cs="方正仿宋_GBK"/>
          <w:snapToGrid w:val="0"/>
          <w:sz w:val="32"/>
          <w:szCs w:val="32"/>
          <w:highlight w:val="none"/>
        </w:rPr>
        <w:t>人的评标价格，取满足</w:t>
      </w:r>
      <w:r>
        <w:rPr>
          <w:rFonts w:hint="eastAsia" w:ascii="方正仿宋_GBK" w:hAnsi="方正仿宋_GBK" w:eastAsia="方正仿宋_GBK" w:cs="方正仿宋_GBK"/>
          <w:snapToGrid w:val="0"/>
          <w:sz w:val="32"/>
          <w:szCs w:val="32"/>
          <w:highlight w:val="none"/>
        </w:rPr>
        <w:t>磋商</w:t>
      </w:r>
      <w:r>
        <w:rPr>
          <w:rFonts w:ascii="方正仿宋_GBK" w:hAnsi="方正仿宋_GBK" w:eastAsia="方正仿宋_GBK" w:cs="方正仿宋_GBK"/>
          <w:snapToGrid w:val="0"/>
          <w:sz w:val="32"/>
          <w:szCs w:val="32"/>
          <w:highlight w:val="none"/>
        </w:rPr>
        <w:t>文件要求且投标价格最低的投标报价作为评标基准价，其价格分为满分，其他</w:t>
      </w:r>
      <w:r>
        <w:rPr>
          <w:rFonts w:hint="eastAsia" w:ascii="方正仿宋_GBK" w:hAnsi="方正仿宋_GBK" w:eastAsia="方正仿宋_GBK" w:cs="方正仿宋_GBK"/>
          <w:snapToGrid w:val="0"/>
          <w:sz w:val="32"/>
          <w:szCs w:val="32"/>
          <w:highlight w:val="none"/>
        </w:rPr>
        <w:t>报价</w:t>
      </w:r>
      <w:r>
        <w:rPr>
          <w:rFonts w:ascii="方正仿宋_GBK" w:hAnsi="方正仿宋_GBK" w:eastAsia="方正仿宋_GBK" w:cs="方正仿宋_GBK"/>
          <w:snapToGrid w:val="0"/>
          <w:sz w:val="32"/>
          <w:szCs w:val="32"/>
          <w:highlight w:val="none"/>
        </w:rPr>
        <w:t>人的价格分统一按照下列公式计算：投标报价得分=（评标基准价/投标报价）×价格权值×100</w:t>
      </w:r>
      <w:r>
        <w:rPr>
          <w:rFonts w:hint="eastAsia" w:ascii="方正仿宋_GBK" w:hAnsi="方正仿宋_GBK" w:eastAsia="方正仿宋_GBK" w:cs="方正仿宋_GBK"/>
          <w:snapToGrid w:val="0"/>
          <w:sz w:val="32"/>
          <w:szCs w:val="32"/>
          <w:highlight w:val="none"/>
        </w:rPr>
        <w:t>；</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2）磋商小组认为报价人的报价明显低于其他通过符合性审查报价人的报价，有可能影响产品质量或者不能诚信履约的，应当要求其在评标现场合理的时间内提供书面说明，必要时提交相关证明材料；报价人不能证明其报价合理性的，磋商小组应当将其作为无效投标处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4）</w:t>
      </w:r>
      <w:r>
        <w:rPr>
          <w:rFonts w:ascii="方正仿宋_GBK" w:hAnsi="方正仿宋_GBK" w:eastAsia="方正仿宋_GBK" w:cs="方正仿宋_GBK"/>
          <w:snapToGrid w:val="0"/>
          <w:sz w:val="32"/>
          <w:szCs w:val="32"/>
          <w:highlight w:val="none"/>
        </w:rPr>
        <w:t>综合比较与评价。</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服务</w:t>
      </w:r>
      <w:r>
        <w:rPr>
          <w:rFonts w:ascii="方正仿宋_GBK" w:hAnsi="方正仿宋_GBK" w:eastAsia="方正仿宋_GBK" w:cs="方正仿宋_GBK"/>
          <w:snapToGrid w:val="0"/>
          <w:sz w:val="32"/>
          <w:szCs w:val="32"/>
          <w:highlight w:val="none"/>
        </w:rPr>
        <w:t>、商务及价格权重分配</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3"/>
        <w:gridCol w:w="2103"/>
        <w:gridCol w:w="2103"/>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03" w:type="dxa"/>
            <w:vAlign w:val="center"/>
          </w:tcPr>
          <w:p>
            <w:pPr>
              <w:autoSpaceDE/>
              <w:autoSpaceDN/>
              <w:spacing w:line="580" w:lineRule="exact"/>
              <w:jc w:val="center"/>
              <w:rPr>
                <w:rFonts w:cs="方正仿宋_GBK" w:asciiTheme="minorEastAsia" w:hAnsiTheme="minorEastAsia" w:eastAsiaTheme="minorEastAsia"/>
                <w:snapToGrid w:val="0"/>
                <w:sz w:val="24"/>
                <w:szCs w:val="24"/>
                <w:highlight w:val="none"/>
              </w:rPr>
            </w:pPr>
            <w:r>
              <w:rPr>
                <w:rFonts w:hint="eastAsia" w:cs="方正仿宋_GBK" w:asciiTheme="minorEastAsia" w:hAnsiTheme="minorEastAsia" w:eastAsiaTheme="minorEastAsia"/>
                <w:snapToGrid w:val="0"/>
                <w:sz w:val="24"/>
                <w:szCs w:val="24"/>
                <w:highlight w:val="none"/>
              </w:rPr>
              <w:t>评分项目</w:t>
            </w:r>
          </w:p>
        </w:tc>
        <w:tc>
          <w:tcPr>
            <w:tcW w:w="2103" w:type="dxa"/>
            <w:vAlign w:val="center"/>
          </w:tcPr>
          <w:p>
            <w:pPr>
              <w:autoSpaceDE/>
              <w:autoSpaceDN/>
              <w:spacing w:line="580" w:lineRule="exact"/>
              <w:jc w:val="center"/>
              <w:rPr>
                <w:rFonts w:cs="方正仿宋_GBK" w:asciiTheme="minorEastAsia" w:hAnsiTheme="minorEastAsia" w:eastAsiaTheme="minorEastAsia"/>
                <w:snapToGrid w:val="0"/>
                <w:sz w:val="24"/>
                <w:szCs w:val="24"/>
                <w:highlight w:val="none"/>
              </w:rPr>
            </w:pPr>
            <w:r>
              <w:rPr>
                <w:rFonts w:hint="eastAsia" w:cs="方正仿宋_GBK" w:asciiTheme="minorEastAsia" w:hAnsiTheme="minorEastAsia" w:eastAsiaTheme="minorEastAsia"/>
                <w:snapToGrid w:val="0"/>
                <w:sz w:val="24"/>
                <w:szCs w:val="24"/>
                <w:highlight w:val="none"/>
              </w:rPr>
              <w:t>技术评分</w:t>
            </w:r>
          </w:p>
        </w:tc>
        <w:tc>
          <w:tcPr>
            <w:tcW w:w="2103" w:type="dxa"/>
            <w:vAlign w:val="center"/>
          </w:tcPr>
          <w:p>
            <w:pPr>
              <w:autoSpaceDE/>
              <w:autoSpaceDN/>
              <w:spacing w:line="580" w:lineRule="exact"/>
              <w:jc w:val="center"/>
              <w:rPr>
                <w:rFonts w:cs="方正仿宋_GBK" w:asciiTheme="minorEastAsia" w:hAnsiTheme="minorEastAsia" w:eastAsiaTheme="minorEastAsia"/>
                <w:snapToGrid w:val="0"/>
                <w:sz w:val="24"/>
                <w:szCs w:val="24"/>
                <w:highlight w:val="none"/>
              </w:rPr>
            </w:pPr>
            <w:r>
              <w:rPr>
                <w:rFonts w:hint="eastAsia" w:cs="方正仿宋_GBK" w:asciiTheme="minorEastAsia" w:hAnsiTheme="minorEastAsia" w:eastAsiaTheme="minorEastAsia"/>
                <w:snapToGrid w:val="0"/>
                <w:sz w:val="24"/>
                <w:szCs w:val="24"/>
                <w:highlight w:val="none"/>
              </w:rPr>
              <w:t>商务评分</w:t>
            </w:r>
          </w:p>
        </w:tc>
        <w:tc>
          <w:tcPr>
            <w:tcW w:w="2103" w:type="dxa"/>
            <w:vAlign w:val="center"/>
          </w:tcPr>
          <w:p>
            <w:pPr>
              <w:autoSpaceDE/>
              <w:autoSpaceDN/>
              <w:spacing w:line="580" w:lineRule="exact"/>
              <w:jc w:val="center"/>
              <w:rPr>
                <w:rFonts w:cs="方正仿宋_GBK" w:asciiTheme="minorEastAsia" w:hAnsiTheme="minorEastAsia" w:eastAsiaTheme="minorEastAsia"/>
                <w:snapToGrid w:val="0"/>
                <w:sz w:val="24"/>
                <w:szCs w:val="24"/>
                <w:highlight w:val="none"/>
              </w:rPr>
            </w:pPr>
            <w:r>
              <w:rPr>
                <w:rFonts w:hint="eastAsia" w:cs="方正仿宋_GBK" w:asciiTheme="minorEastAsia" w:hAnsiTheme="minorEastAsia" w:eastAsiaTheme="minorEastAsia"/>
                <w:snapToGrid w:val="0"/>
                <w:sz w:val="24"/>
                <w:szCs w:val="24"/>
                <w:highlight w:val="none"/>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3" w:type="dxa"/>
            <w:vAlign w:val="center"/>
          </w:tcPr>
          <w:p>
            <w:pPr>
              <w:autoSpaceDE/>
              <w:autoSpaceDN/>
              <w:spacing w:line="580" w:lineRule="exact"/>
              <w:jc w:val="center"/>
              <w:rPr>
                <w:rFonts w:cs="方正仿宋_GBK" w:asciiTheme="minorEastAsia" w:hAnsiTheme="minorEastAsia" w:eastAsiaTheme="minorEastAsia"/>
                <w:snapToGrid w:val="0"/>
                <w:sz w:val="24"/>
                <w:szCs w:val="24"/>
                <w:highlight w:val="none"/>
              </w:rPr>
            </w:pPr>
            <w:r>
              <w:rPr>
                <w:rFonts w:hint="eastAsia" w:cs="方正仿宋_GBK" w:asciiTheme="minorEastAsia" w:hAnsiTheme="minorEastAsia" w:eastAsiaTheme="minorEastAsia"/>
                <w:snapToGrid w:val="0"/>
                <w:sz w:val="24"/>
                <w:szCs w:val="24"/>
                <w:highlight w:val="none"/>
              </w:rPr>
              <w:t>权重</w:t>
            </w:r>
          </w:p>
        </w:tc>
        <w:tc>
          <w:tcPr>
            <w:tcW w:w="2103" w:type="dxa"/>
            <w:vAlign w:val="center"/>
          </w:tcPr>
          <w:p>
            <w:pPr>
              <w:autoSpaceDE/>
              <w:autoSpaceDN/>
              <w:spacing w:line="580" w:lineRule="exact"/>
              <w:jc w:val="center"/>
              <w:rPr>
                <w:rFonts w:cs="方正仿宋_GBK" w:asciiTheme="minorEastAsia" w:hAnsiTheme="minorEastAsia" w:eastAsiaTheme="minorEastAsia"/>
                <w:snapToGrid w:val="0"/>
                <w:sz w:val="24"/>
                <w:szCs w:val="24"/>
                <w:highlight w:val="none"/>
              </w:rPr>
            </w:pPr>
            <w:r>
              <w:rPr>
                <w:rFonts w:hint="eastAsia" w:cs="方正仿宋_GBK" w:asciiTheme="minorEastAsia" w:hAnsiTheme="minorEastAsia" w:eastAsiaTheme="minorEastAsia"/>
                <w:snapToGrid w:val="0"/>
                <w:sz w:val="24"/>
                <w:szCs w:val="24"/>
                <w:highlight w:val="none"/>
              </w:rPr>
              <w:t>4</w:t>
            </w:r>
            <w:r>
              <w:rPr>
                <w:rFonts w:cs="方正仿宋_GBK" w:asciiTheme="minorEastAsia" w:hAnsiTheme="minorEastAsia" w:eastAsiaTheme="minorEastAsia"/>
                <w:snapToGrid w:val="0"/>
                <w:sz w:val="24"/>
                <w:szCs w:val="24"/>
                <w:highlight w:val="none"/>
              </w:rPr>
              <w:t>0</w:t>
            </w:r>
            <w:r>
              <w:rPr>
                <w:rFonts w:hint="eastAsia" w:cs="方正仿宋_GBK" w:asciiTheme="minorEastAsia" w:hAnsiTheme="minorEastAsia" w:eastAsiaTheme="minorEastAsia"/>
                <w:snapToGrid w:val="0"/>
                <w:sz w:val="24"/>
                <w:szCs w:val="24"/>
                <w:highlight w:val="none"/>
              </w:rPr>
              <w:t>%</w:t>
            </w:r>
          </w:p>
        </w:tc>
        <w:tc>
          <w:tcPr>
            <w:tcW w:w="2103" w:type="dxa"/>
            <w:vAlign w:val="center"/>
          </w:tcPr>
          <w:p>
            <w:pPr>
              <w:autoSpaceDE/>
              <w:autoSpaceDN/>
              <w:spacing w:line="580" w:lineRule="exact"/>
              <w:jc w:val="center"/>
              <w:rPr>
                <w:rFonts w:cs="方正仿宋_GBK" w:asciiTheme="minorEastAsia" w:hAnsiTheme="minorEastAsia" w:eastAsiaTheme="minorEastAsia"/>
                <w:snapToGrid w:val="0"/>
                <w:sz w:val="24"/>
                <w:szCs w:val="24"/>
                <w:highlight w:val="none"/>
              </w:rPr>
            </w:pPr>
            <w:r>
              <w:rPr>
                <w:rFonts w:hint="eastAsia" w:cs="方正仿宋_GBK" w:asciiTheme="minorEastAsia" w:hAnsiTheme="minorEastAsia" w:eastAsiaTheme="minorEastAsia"/>
                <w:snapToGrid w:val="0"/>
                <w:sz w:val="24"/>
                <w:szCs w:val="24"/>
                <w:highlight w:val="none"/>
              </w:rPr>
              <w:t>4</w:t>
            </w:r>
            <w:r>
              <w:rPr>
                <w:rFonts w:cs="方正仿宋_GBK" w:asciiTheme="minorEastAsia" w:hAnsiTheme="minorEastAsia" w:eastAsiaTheme="minorEastAsia"/>
                <w:snapToGrid w:val="0"/>
                <w:sz w:val="24"/>
                <w:szCs w:val="24"/>
                <w:highlight w:val="none"/>
              </w:rPr>
              <w:t>0</w:t>
            </w:r>
            <w:r>
              <w:rPr>
                <w:rFonts w:hint="eastAsia" w:cs="方正仿宋_GBK" w:asciiTheme="minorEastAsia" w:hAnsiTheme="minorEastAsia" w:eastAsiaTheme="minorEastAsia"/>
                <w:snapToGrid w:val="0"/>
                <w:sz w:val="24"/>
                <w:szCs w:val="24"/>
                <w:highlight w:val="none"/>
              </w:rPr>
              <w:t>%</w:t>
            </w:r>
          </w:p>
        </w:tc>
        <w:tc>
          <w:tcPr>
            <w:tcW w:w="2103" w:type="dxa"/>
            <w:vAlign w:val="center"/>
          </w:tcPr>
          <w:p>
            <w:pPr>
              <w:autoSpaceDE/>
              <w:autoSpaceDN/>
              <w:spacing w:line="580" w:lineRule="exact"/>
              <w:jc w:val="center"/>
              <w:rPr>
                <w:rFonts w:cs="方正仿宋_GBK" w:asciiTheme="minorEastAsia" w:hAnsiTheme="minorEastAsia" w:eastAsiaTheme="minorEastAsia"/>
                <w:snapToGrid w:val="0"/>
                <w:sz w:val="24"/>
                <w:szCs w:val="24"/>
                <w:highlight w:val="none"/>
              </w:rPr>
            </w:pPr>
            <w:r>
              <w:rPr>
                <w:rFonts w:hint="eastAsia" w:cs="方正仿宋_GBK" w:asciiTheme="minorEastAsia" w:hAnsiTheme="minorEastAsia" w:eastAsiaTheme="minorEastAsia"/>
                <w:snapToGrid w:val="0"/>
                <w:sz w:val="24"/>
                <w:szCs w:val="24"/>
                <w:highlight w:val="none"/>
              </w:rPr>
              <w:t>2</w:t>
            </w:r>
            <w:r>
              <w:rPr>
                <w:rFonts w:cs="方正仿宋_GBK" w:asciiTheme="minorEastAsia" w:hAnsiTheme="minorEastAsia" w:eastAsiaTheme="minorEastAsia"/>
                <w:snapToGrid w:val="0"/>
                <w:sz w:val="24"/>
                <w:szCs w:val="24"/>
                <w:highlight w:val="none"/>
              </w:rPr>
              <w:t>0</w:t>
            </w:r>
            <w:r>
              <w:rPr>
                <w:rFonts w:hint="eastAsia" w:cs="方正仿宋_GBK" w:asciiTheme="minorEastAsia" w:hAnsiTheme="minorEastAsia" w:eastAsiaTheme="minorEastAsia"/>
                <w:snapToGrid w:val="0"/>
                <w:sz w:val="24"/>
                <w:szCs w:val="24"/>
                <w:highlight w:val="none"/>
              </w:rPr>
              <w:t>%</w:t>
            </w:r>
          </w:p>
        </w:tc>
      </w:tr>
    </w:tbl>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评标总得分=F1＋F2＋……+Fn</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F1、F2、……Fn分别为各项评分因素的得分；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A1、A2、……An分别为各项评分</w:t>
      </w:r>
      <w:bookmarkStart w:id="0" w:name="_GoBack"/>
      <w:bookmarkEnd w:id="0"/>
      <w:r>
        <w:rPr>
          <w:rFonts w:ascii="方正仿宋_GBK" w:hAnsi="方正仿宋_GBK" w:eastAsia="方正仿宋_GBK" w:cs="方正仿宋_GBK"/>
          <w:snapToGrid w:val="0"/>
          <w:sz w:val="32"/>
          <w:szCs w:val="32"/>
          <w:highlight w:val="none"/>
        </w:rPr>
        <w:t>因素所占的权重（A1+A2+……+An=1）</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根据上述</w:t>
      </w:r>
      <w:r>
        <w:rPr>
          <w:rFonts w:hint="eastAsia" w:ascii="方正仿宋_GBK" w:hAnsi="方正仿宋_GBK" w:eastAsia="方正仿宋_GBK" w:cs="方正仿宋_GBK"/>
          <w:snapToGrid w:val="0"/>
          <w:sz w:val="32"/>
          <w:szCs w:val="32"/>
          <w:highlight w:val="none"/>
        </w:rPr>
        <w:t>服务</w:t>
      </w:r>
      <w:r>
        <w:rPr>
          <w:rFonts w:ascii="方正仿宋_GBK" w:hAnsi="方正仿宋_GBK" w:eastAsia="方正仿宋_GBK" w:cs="方正仿宋_GBK"/>
          <w:snapToGrid w:val="0"/>
          <w:sz w:val="32"/>
          <w:szCs w:val="32"/>
          <w:highlight w:val="none"/>
        </w:rPr>
        <w:t>、商务及价格综合评价的权重分配计算进入详细评审的各</w:t>
      </w:r>
      <w:r>
        <w:rPr>
          <w:rFonts w:hint="eastAsia" w:ascii="方正仿宋_GBK" w:hAnsi="方正仿宋_GBK" w:eastAsia="方正仿宋_GBK" w:cs="方正仿宋_GBK"/>
          <w:snapToGrid w:val="0"/>
          <w:sz w:val="32"/>
          <w:szCs w:val="32"/>
          <w:highlight w:val="none"/>
        </w:rPr>
        <w:t>报价</w:t>
      </w:r>
      <w:r>
        <w:rPr>
          <w:rFonts w:ascii="方正仿宋_GBK" w:hAnsi="方正仿宋_GBK" w:eastAsia="方正仿宋_GBK" w:cs="方正仿宋_GBK"/>
          <w:snapToGrid w:val="0"/>
          <w:sz w:val="32"/>
          <w:szCs w:val="32"/>
          <w:highlight w:val="none"/>
        </w:rPr>
        <w:t>人的综合得分，并按得分从高到低排名。综合得分相同的优先排列顺序如下 ：1）投标报价由低者；</w:t>
      </w:r>
      <w:r>
        <w:rPr>
          <w:rFonts w:hint="eastAsia" w:ascii="方正仿宋_GBK" w:hAnsi="方正仿宋_GBK" w:eastAsia="方正仿宋_GBK" w:cs="方正仿宋_GBK"/>
          <w:snapToGrid w:val="0"/>
          <w:sz w:val="32"/>
          <w:szCs w:val="32"/>
          <w:highlight w:val="none"/>
        </w:rPr>
        <w:t>2</w:t>
      </w:r>
      <w:r>
        <w:rPr>
          <w:rFonts w:ascii="方正仿宋_GBK" w:hAnsi="方正仿宋_GBK" w:eastAsia="方正仿宋_GBK" w:cs="方正仿宋_GBK"/>
          <w:snapToGrid w:val="0"/>
          <w:sz w:val="32"/>
          <w:szCs w:val="32"/>
          <w:highlight w:val="none"/>
        </w:rPr>
        <w:t>)</w:t>
      </w:r>
      <w:r>
        <w:rPr>
          <w:rFonts w:hint="eastAsia" w:ascii="方正仿宋_GBK" w:hAnsi="方正仿宋_GBK" w:eastAsia="方正仿宋_GBK" w:cs="方正仿宋_GBK"/>
          <w:snapToGrid w:val="0"/>
          <w:sz w:val="32"/>
          <w:szCs w:val="32"/>
          <w:highlight w:val="none"/>
        </w:rPr>
        <w:t>服务</w:t>
      </w:r>
      <w:r>
        <w:rPr>
          <w:rFonts w:ascii="方正仿宋_GBK" w:hAnsi="方正仿宋_GBK" w:eastAsia="方正仿宋_GBK" w:cs="方正仿宋_GBK"/>
          <w:snapToGrid w:val="0"/>
          <w:sz w:val="32"/>
          <w:szCs w:val="32"/>
          <w:highlight w:val="none"/>
        </w:rPr>
        <w:t>得分高者。综合得分最高的</w:t>
      </w:r>
      <w:r>
        <w:rPr>
          <w:rFonts w:hint="eastAsia" w:ascii="方正仿宋_GBK" w:hAnsi="方正仿宋_GBK" w:eastAsia="方正仿宋_GBK" w:cs="方正仿宋_GBK"/>
          <w:snapToGrid w:val="0"/>
          <w:sz w:val="32"/>
          <w:szCs w:val="32"/>
          <w:highlight w:val="none"/>
        </w:rPr>
        <w:t>报价</w:t>
      </w:r>
      <w:r>
        <w:rPr>
          <w:rFonts w:ascii="方正仿宋_GBK" w:hAnsi="方正仿宋_GBK" w:eastAsia="方正仿宋_GBK" w:cs="方正仿宋_GBK"/>
          <w:snapToGrid w:val="0"/>
          <w:sz w:val="32"/>
          <w:szCs w:val="32"/>
          <w:highlight w:val="none"/>
        </w:rPr>
        <w:t>人为第一</w:t>
      </w:r>
      <w:r>
        <w:rPr>
          <w:rFonts w:hint="eastAsia" w:ascii="方正仿宋_GBK" w:hAnsi="方正仿宋_GBK" w:eastAsia="方正仿宋_GBK" w:cs="方正仿宋_GBK"/>
          <w:snapToGrid w:val="0"/>
          <w:sz w:val="32"/>
          <w:szCs w:val="32"/>
          <w:highlight w:val="none"/>
        </w:rPr>
        <w:t>成交</w:t>
      </w:r>
      <w:r>
        <w:rPr>
          <w:rFonts w:ascii="方正仿宋_GBK" w:hAnsi="方正仿宋_GBK" w:eastAsia="方正仿宋_GBK" w:cs="方正仿宋_GBK"/>
          <w:snapToGrid w:val="0"/>
          <w:sz w:val="32"/>
          <w:szCs w:val="32"/>
          <w:highlight w:val="none"/>
        </w:rPr>
        <w:t>候选供应商，综合得分次高的</w:t>
      </w:r>
      <w:r>
        <w:rPr>
          <w:rFonts w:hint="eastAsia" w:ascii="方正仿宋_GBK" w:hAnsi="方正仿宋_GBK" w:eastAsia="方正仿宋_GBK" w:cs="方正仿宋_GBK"/>
          <w:snapToGrid w:val="0"/>
          <w:sz w:val="32"/>
          <w:szCs w:val="32"/>
          <w:highlight w:val="none"/>
        </w:rPr>
        <w:t>报价</w:t>
      </w:r>
      <w:r>
        <w:rPr>
          <w:rFonts w:ascii="方正仿宋_GBK" w:hAnsi="方正仿宋_GBK" w:eastAsia="方正仿宋_GBK" w:cs="方正仿宋_GBK"/>
          <w:snapToGrid w:val="0"/>
          <w:sz w:val="32"/>
          <w:szCs w:val="32"/>
          <w:highlight w:val="none"/>
        </w:rPr>
        <w:t>人为第二</w:t>
      </w:r>
      <w:r>
        <w:rPr>
          <w:rFonts w:hint="eastAsia" w:ascii="方正仿宋_GBK" w:hAnsi="方正仿宋_GBK" w:eastAsia="方正仿宋_GBK" w:cs="方正仿宋_GBK"/>
          <w:snapToGrid w:val="0"/>
          <w:sz w:val="32"/>
          <w:szCs w:val="32"/>
          <w:highlight w:val="none"/>
        </w:rPr>
        <w:t>成交</w:t>
      </w:r>
      <w:r>
        <w:rPr>
          <w:rFonts w:ascii="方正仿宋_GBK" w:hAnsi="方正仿宋_GBK" w:eastAsia="方正仿宋_GBK" w:cs="方正仿宋_GBK"/>
          <w:snapToGrid w:val="0"/>
          <w:sz w:val="32"/>
          <w:szCs w:val="32"/>
          <w:highlight w:val="none"/>
        </w:rPr>
        <w:t>候选供应商。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推荐</w:t>
      </w:r>
      <w:r>
        <w:rPr>
          <w:rFonts w:hint="eastAsia" w:ascii="方正仿宋_GBK" w:hAnsi="方正仿宋_GBK" w:eastAsia="方正仿宋_GBK" w:cs="方正仿宋_GBK"/>
          <w:snapToGrid w:val="0"/>
          <w:sz w:val="32"/>
          <w:szCs w:val="32"/>
          <w:highlight w:val="none"/>
        </w:rPr>
        <w:t>成交</w:t>
      </w:r>
      <w:r>
        <w:rPr>
          <w:rFonts w:ascii="方正仿宋_GBK" w:hAnsi="方正仿宋_GBK" w:eastAsia="方正仿宋_GBK" w:cs="方正仿宋_GBK"/>
          <w:snapToGrid w:val="0"/>
          <w:sz w:val="32"/>
          <w:szCs w:val="32"/>
          <w:highlight w:val="none"/>
        </w:rPr>
        <w:t>候选供应商名单·</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磋商小组</w:t>
      </w:r>
      <w:r>
        <w:rPr>
          <w:rFonts w:ascii="方正仿宋_GBK" w:hAnsi="方正仿宋_GBK" w:eastAsia="方正仿宋_GBK" w:cs="方正仿宋_GBK"/>
          <w:snapToGrid w:val="0"/>
          <w:sz w:val="32"/>
          <w:szCs w:val="32"/>
          <w:highlight w:val="none"/>
        </w:rPr>
        <w:t>将出具评标报告，并按</w:t>
      </w:r>
      <w:r>
        <w:rPr>
          <w:rFonts w:hint="eastAsia" w:ascii="方正仿宋_GBK" w:hAnsi="方正仿宋_GBK" w:eastAsia="方正仿宋_GBK" w:cs="方正仿宋_GBK"/>
          <w:snapToGrid w:val="0"/>
          <w:sz w:val="32"/>
          <w:szCs w:val="32"/>
          <w:highlight w:val="none"/>
        </w:rPr>
        <w:t>磋商</w:t>
      </w:r>
      <w:r>
        <w:rPr>
          <w:rFonts w:ascii="方正仿宋_GBK" w:hAnsi="方正仿宋_GBK" w:eastAsia="方正仿宋_GBK" w:cs="方正仿宋_GBK"/>
          <w:snapToGrid w:val="0"/>
          <w:sz w:val="32"/>
          <w:szCs w:val="32"/>
          <w:highlight w:val="none"/>
        </w:rPr>
        <w:t>文件规定推荐</w:t>
      </w:r>
      <w:r>
        <w:rPr>
          <w:rFonts w:hint="eastAsia" w:ascii="方正仿宋_GBK" w:hAnsi="方正仿宋_GBK" w:eastAsia="方正仿宋_GBK" w:cs="方正仿宋_GBK"/>
          <w:snapToGrid w:val="0"/>
          <w:sz w:val="32"/>
          <w:szCs w:val="32"/>
          <w:highlight w:val="none"/>
        </w:rPr>
        <w:t>第一、二成交</w:t>
      </w:r>
      <w:r>
        <w:rPr>
          <w:rFonts w:ascii="方正仿宋_GBK" w:hAnsi="方正仿宋_GBK" w:eastAsia="方正仿宋_GBK" w:cs="方正仿宋_GBK"/>
          <w:snapToGrid w:val="0"/>
          <w:sz w:val="32"/>
          <w:szCs w:val="32"/>
          <w:highlight w:val="none"/>
        </w:rPr>
        <w:t>候选人。</w:t>
      </w:r>
    </w:p>
    <w:p>
      <w:pPr>
        <w:rPr>
          <w:rFonts w:ascii="Arial" w:hAnsi="Arial" w:cs="Arial"/>
          <w:sz w:val="21"/>
          <w:szCs w:val="20"/>
          <w:highlight w:val="none"/>
        </w:rPr>
      </w:pPr>
      <w:r>
        <w:rPr>
          <w:rFonts w:ascii="Arial" w:hAnsi="Arial" w:cs="Arial"/>
          <w:highlight w:val="none"/>
        </w:rPr>
        <w:br w:type="page"/>
      </w:r>
    </w:p>
    <w:p>
      <w:pPr>
        <w:autoSpaceDE/>
        <w:autoSpaceDN/>
        <w:spacing w:line="580" w:lineRule="exact"/>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评分标准：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技术评价40分：</w:t>
      </w:r>
    </w:p>
    <w:p>
      <w:pPr>
        <w:pStyle w:val="11"/>
        <w:spacing w:before="2"/>
        <w:ind w:left="0"/>
        <w:rPr>
          <w:rFonts w:ascii="仿宋" w:hAnsi="仿宋" w:eastAsia="仿宋"/>
          <w:sz w:val="6"/>
          <w:highlight w:val="none"/>
        </w:rPr>
      </w:pPr>
    </w:p>
    <w:tbl>
      <w:tblPr>
        <w:tblStyle w:val="24"/>
        <w:tblW w:w="0" w:type="auto"/>
        <w:tblInd w:w="37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1276"/>
        <w:gridCol w:w="6158"/>
        <w:gridCol w:w="9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2" w:hRule="atLeast"/>
        </w:trPr>
        <w:tc>
          <w:tcPr>
            <w:tcW w:w="906" w:type="dxa"/>
            <w:vAlign w:val="center"/>
          </w:tcPr>
          <w:p>
            <w:pPr>
              <w:pStyle w:val="26"/>
              <w:spacing w:before="53"/>
              <w:ind w:left="210" w:right="197"/>
              <w:jc w:val="center"/>
              <w:rPr>
                <w:b/>
                <w:sz w:val="24"/>
                <w:szCs w:val="24"/>
                <w:highlight w:val="none"/>
              </w:rPr>
            </w:pPr>
            <w:r>
              <w:rPr>
                <w:b/>
                <w:w w:val="95"/>
                <w:sz w:val="24"/>
                <w:szCs w:val="24"/>
                <w:highlight w:val="none"/>
              </w:rPr>
              <w:t>序</w:t>
            </w:r>
            <w:r>
              <w:rPr>
                <w:b/>
                <w:spacing w:val="-10"/>
                <w:sz w:val="24"/>
                <w:szCs w:val="24"/>
                <w:highlight w:val="none"/>
              </w:rPr>
              <w:t>号</w:t>
            </w:r>
          </w:p>
        </w:tc>
        <w:tc>
          <w:tcPr>
            <w:tcW w:w="1276" w:type="dxa"/>
            <w:vAlign w:val="center"/>
          </w:tcPr>
          <w:p>
            <w:pPr>
              <w:pStyle w:val="26"/>
              <w:spacing w:before="53"/>
              <w:ind w:left="177" w:right="163"/>
              <w:jc w:val="center"/>
              <w:rPr>
                <w:b/>
                <w:sz w:val="24"/>
                <w:szCs w:val="24"/>
                <w:highlight w:val="none"/>
              </w:rPr>
            </w:pPr>
            <w:r>
              <w:rPr>
                <w:b/>
                <w:w w:val="95"/>
                <w:sz w:val="24"/>
                <w:szCs w:val="24"/>
                <w:highlight w:val="none"/>
              </w:rPr>
              <w:t>评审因</w:t>
            </w:r>
            <w:r>
              <w:rPr>
                <w:b/>
                <w:spacing w:val="-10"/>
                <w:w w:val="95"/>
                <w:sz w:val="24"/>
                <w:szCs w:val="24"/>
                <w:highlight w:val="none"/>
              </w:rPr>
              <w:t>素</w:t>
            </w:r>
          </w:p>
        </w:tc>
        <w:tc>
          <w:tcPr>
            <w:tcW w:w="6158" w:type="dxa"/>
            <w:vAlign w:val="center"/>
          </w:tcPr>
          <w:p>
            <w:pPr>
              <w:pStyle w:val="26"/>
              <w:spacing w:before="53"/>
              <w:ind w:left="2132" w:right="2117"/>
              <w:jc w:val="center"/>
              <w:rPr>
                <w:b/>
                <w:sz w:val="24"/>
                <w:szCs w:val="24"/>
                <w:highlight w:val="none"/>
              </w:rPr>
            </w:pPr>
            <w:r>
              <w:rPr>
                <w:b/>
                <w:w w:val="95"/>
                <w:sz w:val="24"/>
                <w:szCs w:val="24"/>
                <w:highlight w:val="none"/>
              </w:rPr>
              <w:t>评分标</w:t>
            </w:r>
            <w:r>
              <w:rPr>
                <w:b/>
                <w:spacing w:val="-4"/>
                <w:w w:val="95"/>
                <w:sz w:val="24"/>
                <w:szCs w:val="24"/>
                <w:highlight w:val="none"/>
              </w:rPr>
              <w:t>准说明</w:t>
            </w:r>
          </w:p>
        </w:tc>
        <w:tc>
          <w:tcPr>
            <w:tcW w:w="913" w:type="dxa"/>
            <w:vAlign w:val="center"/>
          </w:tcPr>
          <w:p>
            <w:pPr>
              <w:pStyle w:val="26"/>
              <w:spacing w:before="53"/>
              <w:ind w:left="167" w:right="154"/>
              <w:jc w:val="center"/>
              <w:rPr>
                <w:b/>
                <w:sz w:val="24"/>
                <w:szCs w:val="24"/>
                <w:highlight w:val="none"/>
              </w:rPr>
            </w:pPr>
            <w:r>
              <w:rPr>
                <w:b/>
                <w:w w:val="95"/>
                <w:sz w:val="24"/>
                <w:szCs w:val="24"/>
                <w:highlight w:val="none"/>
              </w:rPr>
              <w:t>分</w:t>
            </w:r>
            <w:r>
              <w:rPr>
                <w:b/>
                <w:spacing w:val="-10"/>
                <w:sz w:val="24"/>
                <w:szCs w:val="24"/>
                <w:highlight w:val="none"/>
              </w:rPr>
              <w:t>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7" w:hRule="atLeast"/>
        </w:trPr>
        <w:tc>
          <w:tcPr>
            <w:tcW w:w="906" w:type="dxa"/>
            <w:vAlign w:val="center"/>
          </w:tcPr>
          <w:p>
            <w:pPr>
              <w:pStyle w:val="26"/>
              <w:spacing w:before="165"/>
              <w:ind w:left="10"/>
              <w:jc w:val="center"/>
              <w:rPr>
                <w:w w:val="99"/>
                <w:sz w:val="24"/>
                <w:szCs w:val="24"/>
                <w:highlight w:val="none"/>
              </w:rPr>
            </w:pPr>
            <w:r>
              <w:rPr>
                <w:rFonts w:hint="eastAsia"/>
                <w:w w:val="99"/>
                <w:sz w:val="24"/>
                <w:szCs w:val="24"/>
                <w:highlight w:val="none"/>
              </w:rPr>
              <w:t>1</w:t>
            </w:r>
          </w:p>
        </w:tc>
        <w:tc>
          <w:tcPr>
            <w:tcW w:w="1276" w:type="dxa"/>
            <w:vAlign w:val="center"/>
          </w:tcPr>
          <w:p>
            <w:pPr>
              <w:pStyle w:val="26"/>
              <w:spacing w:before="165"/>
              <w:ind w:left="177" w:right="168"/>
              <w:jc w:val="center"/>
              <w:rPr>
                <w:w w:val="99"/>
                <w:sz w:val="24"/>
                <w:szCs w:val="24"/>
                <w:highlight w:val="none"/>
              </w:rPr>
            </w:pPr>
            <w:r>
              <w:rPr>
                <w:rFonts w:hint="eastAsia"/>
                <w:w w:val="99"/>
                <w:sz w:val="24"/>
                <w:szCs w:val="24"/>
                <w:highlight w:val="none"/>
              </w:rPr>
              <w:t>服务响应</w:t>
            </w:r>
          </w:p>
        </w:tc>
        <w:tc>
          <w:tcPr>
            <w:tcW w:w="6158" w:type="dxa"/>
          </w:tcPr>
          <w:p>
            <w:pPr>
              <w:pStyle w:val="26"/>
              <w:spacing w:before="165" w:line="364" w:lineRule="auto"/>
              <w:ind w:left="107" w:right="121"/>
              <w:rPr>
                <w:w w:val="99"/>
                <w:sz w:val="24"/>
                <w:szCs w:val="24"/>
                <w:highlight w:val="none"/>
              </w:rPr>
            </w:pPr>
            <w:r>
              <w:rPr>
                <w:rFonts w:hint="eastAsia"/>
                <w:w w:val="99"/>
                <w:sz w:val="24"/>
                <w:szCs w:val="24"/>
                <w:highlight w:val="none"/>
              </w:rPr>
              <w:t xml:space="preserve">完全满足采购项目服务要求的得满分，每项负偏离扣1分 ，扣完为止。 </w:t>
            </w:r>
          </w:p>
        </w:tc>
        <w:tc>
          <w:tcPr>
            <w:tcW w:w="913" w:type="dxa"/>
            <w:vAlign w:val="center"/>
          </w:tcPr>
          <w:p>
            <w:pPr>
              <w:pStyle w:val="26"/>
              <w:spacing w:before="165"/>
              <w:ind w:left="165" w:right="154"/>
              <w:jc w:val="center"/>
              <w:rPr>
                <w:w w:val="99"/>
                <w:sz w:val="24"/>
                <w:szCs w:val="24"/>
                <w:highlight w:val="none"/>
              </w:rPr>
            </w:pPr>
            <w:r>
              <w:rPr>
                <w:rFonts w:hint="eastAsia"/>
                <w:w w:val="99"/>
                <w:sz w:val="24"/>
                <w:szCs w:val="24"/>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8" w:hRule="atLeast"/>
        </w:trPr>
        <w:tc>
          <w:tcPr>
            <w:tcW w:w="906" w:type="dxa"/>
            <w:vAlign w:val="center"/>
          </w:tcPr>
          <w:p>
            <w:pPr>
              <w:pStyle w:val="26"/>
              <w:spacing w:before="165"/>
              <w:ind w:left="10"/>
              <w:jc w:val="center"/>
              <w:rPr>
                <w:w w:val="99"/>
                <w:sz w:val="24"/>
                <w:szCs w:val="24"/>
                <w:highlight w:val="none"/>
              </w:rPr>
            </w:pPr>
            <w:r>
              <w:rPr>
                <w:rFonts w:hint="eastAsia"/>
                <w:w w:val="99"/>
                <w:sz w:val="24"/>
                <w:szCs w:val="24"/>
                <w:highlight w:val="none"/>
              </w:rPr>
              <w:t>2</w:t>
            </w:r>
          </w:p>
        </w:tc>
        <w:tc>
          <w:tcPr>
            <w:tcW w:w="1276" w:type="dxa"/>
            <w:vAlign w:val="center"/>
          </w:tcPr>
          <w:p>
            <w:pPr>
              <w:pStyle w:val="26"/>
              <w:spacing w:before="165"/>
              <w:ind w:left="177" w:right="165"/>
              <w:jc w:val="center"/>
              <w:rPr>
                <w:w w:val="99"/>
                <w:sz w:val="24"/>
                <w:szCs w:val="24"/>
                <w:highlight w:val="none"/>
              </w:rPr>
            </w:pPr>
            <w:r>
              <w:rPr>
                <w:rFonts w:hint="eastAsia"/>
                <w:w w:val="99"/>
                <w:sz w:val="24"/>
                <w:szCs w:val="24"/>
                <w:highlight w:val="none"/>
              </w:rPr>
              <w:t>服务方案</w:t>
            </w:r>
          </w:p>
        </w:tc>
        <w:tc>
          <w:tcPr>
            <w:tcW w:w="6158" w:type="dxa"/>
            <w:vAlign w:val="center"/>
          </w:tcPr>
          <w:p>
            <w:pPr>
              <w:spacing w:before="165"/>
              <w:rPr>
                <w:w w:val="99"/>
                <w:sz w:val="24"/>
                <w:szCs w:val="24"/>
                <w:highlight w:val="none"/>
              </w:rPr>
            </w:pPr>
            <w:r>
              <w:rPr>
                <w:rFonts w:ascii="方正仿宋_GBK" w:hAnsi="方正仿宋_GBK" w:eastAsia="方正仿宋_GBK" w:cs="方正仿宋_GBK"/>
                <w:snapToGrid w:val="0"/>
                <w:sz w:val="32"/>
                <w:szCs w:val="32"/>
                <w:highlight w:val="none"/>
              </w:rPr>
              <w:t>★</w:t>
            </w:r>
            <w:r>
              <w:rPr>
                <w:rFonts w:hint="eastAsia"/>
                <w:w w:val="99"/>
                <w:sz w:val="24"/>
                <w:szCs w:val="24"/>
                <w:highlight w:val="none"/>
              </w:rPr>
              <w:t>根据投标人针对本项目的服务方案进行评审，包含：满意度测评调查方案；调查计划；调查质量控制程序和针对该项目的质量控制方案；合理化建议和分析报告（包含对项目检查管理的合理化建议、已完成项目的分析报告样本，报告目录条理清晰,能有效展示问题，符合等级医院评审要求）；应急响应方案（具有应急响应承诺，根据接到采购人要求后，到达现场办公的响应时间承诺和针对采购人临时增加的突发调查任务，提出服务方案和收费标准）。</w:t>
            </w:r>
          </w:p>
          <w:p>
            <w:pPr>
              <w:spacing w:before="165"/>
              <w:rPr>
                <w:w w:val="99"/>
                <w:sz w:val="24"/>
                <w:szCs w:val="24"/>
                <w:highlight w:val="none"/>
              </w:rPr>
            </w:pPr>
            <w:r>
              <w:rPr>
                <w:rFonts w:hint="eastAsia"/>
                <w:w w:val="99"/>
                <w:sz w:val="24"/>
                <w:szCs w:val="24"/>
                <w:highlight w:val="none"/>
              </w:rPr>
              <w:t>1、方案详细、合理，可操作性强，符合本项目需求的得10分；</w:t>
            </w:r>
          </w:p>
          <w:p>
            <w:pPr>
              <w:spacing w:before="165"/>
              <w:rPr>
                <w:w w:val="99"/>
                <w:sz w:val="24"/>
                <w:szCs w:val="24"/>
                <w:highlight w:val="none"/>
              </w:rPr>
            </w:pPr>
            <w:r>
              <w:rPr>
                <w:rFonts w:hint="eastAsia"/>
                <w:w w:val="99"/>
                <w:sz w:val="24"/>
                <w:szCs w:val="24"/>
                <w:highlight w:val="none"/>
              </w:rPr>
              <w:t>2、方案基本合理，可操作，基本符合本项目需求的得7分；</w:t>
            </w:r>
          </w:p>
          <w:p>
            <w:pPr>
              <w:spacing w:before="165"/>
              <w:rPr>
                <w:w w:val="99"/>
                <w:sz w:val="24"/>
                <w:szCs w:val="24"/>
                <w:highlight w:val="none"/>
              </w:rPr>
            </w:pPr>
            <w:r>
              <w:rPr>
                <w:rFonts w:hint="eastAsia"/>
                <w:w w:val="99"/>
                <w:sz w:val="24"/>
                <w:szCs w:val="24"/>
                <w:highlight w:val="none"/>
              </w:rPr>
              <w:t>3、方案一般，可操作性一般的得4分；</w:t>
            </w:r>
          </w:p>
          <w:p>
            <w:pPr>
              <w:pStyle w:val="26"/>
              <w:spacing w:before="165"/>
              <w:rPr>
                <w:w w:val="99"/>
                <w:sz w:val="24"/>
                <w:szCs w:val="24"/>
                <w:highlight w:val="none"/>
              </w:rPr>
            </w:pPr>
            <w:r>
              <w:rPr>
                <w:rFonts w:hint="eastAsia"/>
                <w:w w:val="99"/>
                <w:sz w:val="24"/>
                <w:szCs w:val="24"/>
                <w:highlight w:val="none"/>
              </w:rPr>
              <w:t>4、方案不全面的得1分。</w:t>
            </w:r>
          </w:p>
        </w:tc>
        <w:tc>
          <w:tcPr>
            <w:tcW w:w="913" w:type="dxa"/>
            <w:vAlign w:val="center"/>
          </w:tcPr>
          <w:p>
            <w:pPr>
              <w:pStyle w:val="26"/>
              <w:spacing w:before="165"/>
              <w:ind w:left="165" w:right="154"/>
              <w:jc w:val="center"/>
              <w:rPr>
                <w:w w:val="99"/>
                <w:sz w:val="24"/>
                <w:szCs w:val="24"/>
                <w:highlight w:val="none"/>
              </w:rPr>
            </w:pPr>
            <w:r>
              <w:rPr>
                <w:rFonts w:hint="eastAsia"/>
                <w:w w:val="99"/>
                <w:sz w:val="24"/>
                <w:szCs w:val="24"/>
                <w:highlight w:val="none"/>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38" w:hRule="atLeast"/>
        </w:trPr>
        <w:tc>
          <w:tcPr>
            <w:tcW w:w="906" w:type="dxa"/>
            <w:vAlign w:val="center"/>
          </w:tcPr>
          <w:p>
            <w:pPr>
              <w:pStyle w:val="26"/>
              <w:spacing w:before="165"/>
              <w:ind w:left="10"/>
              <w:jc w:val="center"/>
              <w:rPr>
                <w:w w:val="99"/>
                <w:sz w:val="24"/>
                <w:szCs w:val="24"/>
                <w:highlight w:val="none"/>
              </w:rPr>
            </w:pPr>
            <w:r>
              <w:rPr>
                <w:rFonts w:hint="eastAsia"/>
                <w:w w:val="99"/>
                <w:sz w:val="24"/>
                <w:szCs w:val="24"/>
                <w:highlight w:val="none"/>
              </w:rPr>
              <w:t>3</w:t>
            </w:r>
          </w:p>
        </w:tc>
        <w:tc>
          <w:tcPr>
            <w:tcW w:w="1276" w:type="dxa"/>
            <w:vAlign w:val="center"/>
          </w:tcPr>
          <w:p>
            <w:pPr>
              <w:pStyle w:val="26"/>
              <w:spacing w:before="152"/>
              <w:ind w:right="165"/>
              <w:rPr>
                <w:w w:val="99"/>
                <w:sz w:val="24"/>
                <w:szCs w:val="24"/>
                <w:highlight w:val="none"/>
              </w:rPr>
            </w:pPr>
            <w:r>
              <w:rPr>
                <w:rFonts w:hint="eastAsia"/>
                <w:w w:val="99"/>
                <w:sz w:val="24"/>
                <w:szCs w:val="24"/>
                <w:highlight w:val="none"/>
              </w:rPr>
              <w:t>人员投入</w:t>
            </w:r>
          </w:p>
        </w:tc>
        <w:tc>
          <w:tcPr>
            <w:tcW w:w="6158" w:type="dxa"/>
            <w:vAlign w:val="center"/>
          </w:tcPr>
          <w:p>
            <w:pPr>
              <w:spacing w:before="165"/>
              <w:rPr>
                <w:w w:val="99"/>
                <w:sz w:val="24"/>
                <w:szCs w:val="24"/>
                <w:highlight w:val="none"/>
              </w:rPr>
            </w:pPr>
            <w:r>
              <w:rPr>
                <w:rFonts w:hint="eastAsia"/>
                <w:w w:val="99"/>
                <w:sz w:val="24"/>
                <w:szCs w:val="24"/>
                <w:highlight w:val="none"/>
              </w:rPr>
              <w:t>根据团队负责人在统计职称方面的等级等进行评分：</w:t>
            </w:r>
          </w:p>
          <w:p>
            <w:pPr>
              <w:spacing w:before="165"/>
              <w:rPr>
                <w:w w:val="99"/>
                <w:sz w:val="24"/>
                <w:szCs w:val="24"/>
                <w:highlight w:val="none"/>
              </w:rPr>
            </w:pPr>
            <w:r>
              <w:rPr>
                <w:rFonts w:hint="eastAsia"/>
                <w:w w:val="99"/>
                <w:sz w:val="24"/>
                <w:szCs w:val="24"/>
                <w:highlight w:val="none"/>
              </w:rPr>
              <w:t>1.团队负责人具备卫生统计学学位且获得中级及以上统计师职称，满足需要：10分；</w:t>
            </w:r>
          </w:p>
          <w:p>
            <w:pPr>
              <w:spacing w:before="165"/>
              <w:rPr>
                <w:w w:val="99"/>
                <w:sz w:val="24"/>
                <w:szCs w:val="24"/>
                <w:highlight w:val="none"/>
              </w:rPr>
            </w:pPr>
            <w:r>
              <w:rPr>
                <w:rFonts w:hint="eastAsia"/>
                <w:w w:val="99"/>
                <w:sz w:val="24"/>
                <w:szCs w:val="24"/>
                <w:highlight w:val="none"/>
              </w:rPr>
              <w:t>2.投入团队具备卫生统计学学位，满足需要：5分；</w:t>
            </w:r>
          </w:p>
          <w:p>
            <w:pPr>
              <w:spacing w:before="165"/>
              <w:rPr>
                <w:w w:val="99"/>
                <w:sz w:val="24"/>
                <w:szCs w:val="24"/>
                <w:highlight w:val="none"/>
              </w:rPr>
            </w:pPr>
            <w:r>
              <w:rPr>
                <w:rFonts w:hint="eastAsia"/>
                <w:w w:val="99"/>
                <w:sz w:val="24"/>
                <w:szCs w:val="24"/>
                <w:highlight w:val="none"/>
              </w:rPr>
              <w:t>3.投入团队获得中级及以上统计师职称，满足需要：3分；</w:t>
            </w:r>
          </w:p>
          <w:p>
            <w:pPr>
              <w:spacing w:before="165"/>
              <w:rPr>
                <w:w w:val="99"/>
                <w:sz w:val="24"/>
                <w:szCs w:val="24"/>
                <w:highlight w:val="none"/>
              </w:rPr>
            </w:pPr>
            <w:r>
              <w:rPr>
                <w:rFonts w:hint="eastAsia"/>
                <w:w w:val="99"/>
                <w:sz w:val="24"/>
                <w:szCs w:val="24"/>
                <w:highlight w:val="none"/>
              </w:rPr>
              <w:t>4.同时不满足两者：0分。</w:t>
            </w:r>
          </w:p>
        </w:tc>
        <w:tc>
          <w:tcPr>
            <w:tcW w:w="913" w:type="dxa"/>
            <w:vAlign w:val="center"/>
          </w:tcPr>
          <w:p>
            <w:pPr>
              <w:pStyle w:val="26"/>
              <w:spacing w:before="165"/>
              <w:ind w:left="165" w:right="154"/>
              <w:jc w:val="center"/>
              <w:rPr>
                <w:w w:val="99"/>
                <w:sz w:val="24"/>
                <w:szCs w:val="24"/>
                <w:highlight w:val="none"/>
              </w:rPr>
            </w:pPr>
            <w:r>
              <w:rPr>
                <w:rFonts w:hint="eastAsia"/>
                <w:w w:val="99"/>
                <w:sz w:val="24"/>
                <w:szCs w:val="24"/>
                <w:highlight w:val="none"/>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38" w:hRule="atLeast"/>
        </w:trPr>
        <w:tc>
          <w:tcPr>
            <w:tcW w:w="906" w:type="dxa"/>
            <w:vAlign w:val="center"/>
          </w:tcPr>
          <w:p>
            <w:pPr>
              <w:pStyle w:val="26"/>
              <w:spacing w:before="165"/>
              <w:ind w:left="10"/>
              <w:jc w:val="center"/>
              <w:rPr>
                <w:w w:val="99"/>
                <w:sz w:val="24"/>
                <w:szCs w:val="24"/>
                <w:highlight w:val="none"/>
              </w:rPr>
            </w:pPr>
            <w:r>
              <w:rPr>
                <w:rFonts w:hint="eastAsia"/>
                <w:w w:val="99"/>
                <w:sz w:val="24"/>
                <w:szCs w:val="24"/>
                <w:highlight w:val="none"/>
              </w:rPr>
              <w:t>4</w:t>
            </w:r>
          </w:p>
        </w:tc>
        <w:tc>
          <w:tcPr>
            <w:tcW w:w="1276" w:type="dxa"/>
            <w:vAlign w:val="center"/>
          </w:tcPr>
          <w:p>
            <w:pPr>
              <w:pStyle w:val="26"/>
              <w:spacing w:before="165"/>
              <w:ind w:left="10"/>
              <w:jc w:val="center"/>
              <w:rPr>
                <w:w w:val="99"/>
                <w:sz w:val="24"/>
                <w:szCs w:val="24"/>
                <w:highlight w:val="none"/>
              </w:rPr>
            </w:pPr>
            <w:r>
              <w:rPr>
                <w:rFonts w:hint="eastAsia"/>
                <w:w w:val="99"/>
                <w:sz w:val="24"/>
                <w:szCs w:val="24"/>
                <w:highlight w:val="none"/>
              </w:rPr>
              <w:t>项目工作计划</w:t>
            </w:r>
          </w:p>
        </w:tc>
        <w:tc>
          <w:tcPr>
            <w:tcW w:w="6158" w:type="dxa"/>
            <w:vAlign w:val="center"/>
          </w:tcPr>
          <w:p>
            <w:pPr>
              <w:spacing w:before="165"/>
              <w:rPr>
                <w:w w:val="99"/>
                <w:sz w:val="24"/>
                <w:szCs w:val="24"/>
                <w:highlight w:val="none"/>
              </w:rPr>
            </w:pPr>
            <w:r>
              <w:rPr>
                <w:rFonts w:hint="eastAsia"/>
                <w:w w:val="99"/>
                <w:sz w:val="24"/>
                <w:szCs w:val="24"/>
                <w:highlight w:val="none"/>
              </w:rPr>
              <w:t>根据供应商对项目工作计划整体设置、各部分工作的时间安排等进行评分：</w:t>
            </w:r>
          </w:p>
          <w:p>
            <w:pPr>
              <w:spacing w:before="165"/>
              <w:rPr>
                <w:w w:val="99"/>
                <w:sz w:val="24"/>
                <w:szCs w:val="24"/>
                <w:highlight w:val="none"/>
              </w:rPr>
            </w:pPr>
            <w:r>
              <w:rPr>
                <w:rFonts w:hint="eastAsia"/>
                <w:w w:val="99"/>
                <w:sz w:val="24"/>
                <w:szCs w:val="24"/>
                <w:highlight w:val="none"/>
              </w:rPr>
              <w:t>1、项目工作计划整体设置科学合理，各部分工作的时间安排明确适当，承担各部分工作的人员配置均衡，项目工作计划具备指导性与可操作性，得5 分；</w:t>
            </w:r>
          </w:p>
          <w:p>
            <w:pPr>
              <w:spacing w:before="165"/>
              <w:rPr>
                <w:w w:val="99"/>
                <w:sz w:val="24"/>
                <w:szCs w:val="24"/>
                <w:highlight w:val="none"/>
              </w:rPr>
            </w:pPr>
            <w:r>
              <w:rPr>
                <w:rFonts w:hint="eastAsia"/>
                <w:w w:val="99"/>
                <w:sz w:val="24"/>
                <w:szCs w:val="24"/>
                <w:highlight w:val="none"/>
              </w:rPr>
              <w:t>2、项目工作计划整体设置较为科学合理，各部分工作的时间安排明确，承担各部分工作的人员配置较为均衡，项目工作计划具备一定的指导性与可操作性，得3 分；</w:t>
            </w:r>
          </w:p>
          <w:p>
            <w:pPr>
              <w:spacing w:before="165"/>
              <w:rPr>
                <w:w w:val="99"/>
                <w:sz w:val="24"/>
                <w:szCs w:val="24"/>
                <w:highlight w:val="none"/>
              </w:rPr>
            </w:pPr>
            <w:r>
              <w:rPr>
                <w:rFonts w:hint="eastAsia"/>
                <w:w w:val="99"/>
                <w:sz w:val="24"/>
                <w:szCs w:val="24"/>
                <w:highlight w:val="none"/>
              </w:rPr>
              <w:t>3、项目工作计划整体设置较为合理，各部分工作的时间安排简单，承担各部分工作的人员配置不足，项目工作计划具备一定的指导性，得2 分；</w:t>
            </w:r>
          </w:p>
          <w:p>
            <w:pPr>
              <w:pStyle w:val="26"/>
              <w:spacing w:before="165"/>
              <w:ind w:right="-15"/>
              <w:rPr>
                <w:w w:val="99"/>
                <w:sz w:val="24"/>
                <w:szCs w:val="24"/>
                <w:highlight w:val="none"/>
              </w:rPr>
            </w:pPr>
            <w:r>
              <w:rPr>
                <w:rFonts w:hint="eastAsia"/>
                <w:w w:val="99"/>
                <w:sz w:val="24"/>
                <w:szCs w:val="24"/>
                <w:highlight w:val="none"/>
              </w:rPr>
              <w:t>4、项目工作计划整体设置粗略，各部分工作的时间安排不当，承担各部分工作的科研人员存在缺失，项目工作计划的指导性和可操作性存在缺陷，得1 分。</w:t>
            </w:r>
          </w:p>
        </w:tc>
        <w:tc>
          <w:tcPr>
            <w:tcW w:w="913" w:type="dxa"/>
            <w:vAlign w:val="center"/>
          </w:tcPr>
          <w:p>
            <w:pPr>
              <w:pStyle w:val="26"/>
              <w:spacing w:before="165"/>
              <w:ind w:left="10"/>
              <w:jc w:val="center"/>
              <w:rPr>
                <w:w w:val="99"/>
                <w:sz w:val="24"/>
                <w:szCs w:val="24"/>
                <w:highlight w:val="none"/>
              </w:rPr>
            </w:pPr>
            <w:r>
              <w:rPr>
                <w:rFonts w:hint="eastAsia"/>
                <w:w w:val="99"/>
                <w:sz w:val="24"/>
                <w:szCs w:val="24"/>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17" w:hRule="atLeast"/>
        </w:trPr>
        <w:tc>
          <w:tcPr>
            <w:tcW w:w="906" w:type="dxa"/>
            <w:vAlign w:val="center"/>
          </w:tcPr>
          <w:p>
            <w:pPr>
              <w:pStyle w:val="26"/>
              <w:ind w:left="10"/>
              <w:jc w:val="center"/>
              <w:rPr>
                <w:sz w:val="24"/>
                <w:szCs w:val="24"/>
                <w:highlight w:val="none"/>
              </w:rPr>
            </w:pPr>
            <w:r>
              <w:rPr>
                <w:rFonts w:hint="eastAsia"/>
                <w:sz w:val="24"/>
                <w:szCs w:val="24"/>
                <w:highlight w:val="none"/>
              </w:rPr>
              <w:t>5</w:t>
            </w:r>
          </w:p>
        </w:tc>
        <w:tc>
          <w:tcPr>
            <w:tcW w:w="1276" w:type="dxa"/>
            <w:vAlign w:val="center"/>
          </w:tcPr>
          <w:p>
            <w:pPr>
              <w:pStyle w:val="26"/>
              <w:spacing w:before="152"/>
              <w:ind w:right="165"/>
              <w:rPr>
                <w:w w:val="99"/>
                <w:sz w:val="24"/>
                <w:szCs w:val="24"/>
                <w:highlight w:val="none"/>
              </w:rPr>
            </w:pPr>
            <w:r>
              <w:rPr>
                <w:rFonts w:hint="eastAsia"/>
                <w:w w:val="99"/>
                <w:sz w:val="24"/>
                <w:szCs w:val="24"/>
                <w:highlight w:val="none"/>
              </w:rPr>
              <w:t>对本项目投入设备和场地</w:t>
            </w:r>
          </w:p>
        </w:tc>
        <w:tc>
          <w:tcPr>
            <w:tcW w:w="6158" w:type="dxa"/>
            <w:vAlign w:val="center"/>
          </w:tcPr>
          <w:p>
            <w:pPr>
              <w:spacing w:before="165"/>
              <w:rPr>
                <w:w w:val="99"/>
                <w:sz w:val="24"/>
                <w:szCs w:val="24"/>
                <w:highlight w:val="none"/>
              </w:rPr>
            </w:pPr>
            <w:r>
              <w:rPr>
                <w:rFonts w:hint="eastAsia"/>
                <w:w w:val="99"/>
                <w:sz w:val="24"/>
                <w:szCs w:val="24"/>
                <w:highlight w:val="none"/>
              </w:rPr>
              <w:t>1、供应商自有专业电话坐席200席位或以上，和独立的办公场地的，得10分；</w:t>
            </w:r>
          </w:p>
          <w:p>
            <w:pPr>
              <w:spacing w:before="165"/>
              <w:rPr>
                <w:w w:val="99"/>
                <w:sz w:val="24"/>
                <w:szCs w:val="24"/>
                <w:highlight w:val="none"/>
              </w:rPr>
            </w:pPr>
            <w:r>
              <w:rPr>
                <w:rFonts w:hint="eastAsia"/>
                <w:w w:val="99"/>
                <w:sz w:val="24"/>
                <w:szCs w:val="24"/>
                <w:highlight w:val="none"/>
              </w:rPr>
              <w:t>2、供应商自有专业电话坐席100席位以上，和独立的办公场地的，得5分；</w:t>
            </w:r>
          </w:p>
          <w:p>
            <w:pPr>
              <w:spacing w:before="165"/>
              <w:rPr>
                <w:w w:val="99"/>
                <w:sz w:val="24"/>
                <w:szCs w:val="24"/>
                <w:highlight w:val="none"/>
              </w:rPr>
            </w:pPr>
            <w:r>
              <w:rPr>
                <w:rFonts w:hint="eastAsia"/>
                <w:w w:val="99"/>
                <w:sz w:val="24"/>
                <w:szCs w:val="24"/>
                <w:highlight w:val="none"/>
              </w:rPr>
              <w:t>3、供应商自有专业电话坐席的，得3分；</w:t>
            </w:r>
          </w:p>
          <w:p>
            <w:pPr>
              <w:spacing w:before="165"/>
              <w:rPr>
                <w:w w:val="99"/>
                <w:sz w:val="24"/>
                <w:szCs w:val="24"/>
                <w:highlight w:val="none"/>
              </w:rPr>
            </w:pPr>
            <w:r>
              <w:rPr>
                <w:rFonts w:hint="eastAsia"/>
                <w:w w:val="99"/>
                <w:sz w:val="24"/>
                <w:szCs w:val="24"/>
                <w:highlight w:val="none"/>
              </w:rPr>
              <w:t>4、供应商无自有专业电话坐席的，得0分</w:t>
            </w:r>
          </w:p>
          <w:p>
            <w:pPr>
              <w:pStyle w:val="26"/>
              <w:spacing w:before="165"/>
              <w:rPr>
                <w:w w:val="99"/>
                <w:sz w:val="24"/>
                <w:szCs w:val="24"/>
                <w:highlight w:val="none"/>
              </w:rPr>
            </w:pPr>
            <w:r>
              <w:rPr>
                <w:rFonts w:hint="eastAsia"/>
                <w:w w:val="99"/>
                <w:sz w:val="24"/>
                <w:szCs w:val="24"/>
                <w:highlight w:val="none"/>
              </w:rPr>
              <w:t>（提供坐席安装建设（或购买）合同复印件和坐席现场照片）</w:t>
            </w:r>
          </w:p>
        </w:tc>
        <w:tc>
          <w:tcPr>
            <w:tcW w:w="913" w:type="dxa"/>
            <w:vAlign w:val="center"/>
          </w:tcPr>
          <w:p>
            <w:pPr>
              <w:pStyle w:val="26"/>
              <w:ind w:left="165" w:right="154"/>
              <w:jc w:val="center"/>
              <w:rPr>
                <w:sz w:val="24"/>
                <w:szCs w:val="24"/>
                <w:highlight w:val="none"/>
              </w:rPr>
            </w:pPr>
            <w:r>
              <w:rPr>
                <w:rFonts w:hint="eastAsia"/>
                <w:spacing w:val="-5"/>
                <w:sz w:val="24"/>
                <w:szCs w:val="24"/>
                <w:highlight w:val="none"/>
              </w:rPr>
              <w:t>10</w:t>
            </w:r>
          </w:p>
        </w:tc>
      </w:tr>
    </w:tbl>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2、</w:t>
      </w:r>
      <w:r>
        <w:rPr>
          <w:rFonts w:ascii="方正仿宋_GBK" w:hAnsi="方正仿宋_GBK" w:eastAsia="方正仿宋_GBK" w:cs="方正仿宋_GBK"/>
          <w:snapToGrid w:val="0"/>
          <w:sz w:val="32"/>
          <w:szCs w:val="32"/>
          <w:highlight w:val="none"/>
        </w:rPr>
        <w:t>商务评价（40分）：</w:t>
      </w:r>
    </w:p>
    <w:p>
      <w:pPr>
        <w:pStyle w:val="11"/>
        <w:spacing w:before="2"/>
        <w:ind w:left="0"/>
        <w:rPr>
          <w:rFonts w:ascii="仿宋" w:hAnsi="仿宋" w:eastAsia="仿宋"/>
          <w:sz w:val="6"/>
          <w:highlight w:val="none"/>
        </w:rPr>
      </w:pPr>
    </w:p>
    <w:tbl>
      <w:tblPr>
        <w:tblStyle w:val="21"/>
        <w:tblW w:w="0" w:type="auto"/>
        <w:tblInd w:w="4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5"/>
        <w:gridCol w:w="2031"/>
        <w:gridCol w:w="5670"/>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9" w:hRule="atLeast"/>
        </w:trPr>
        <w:tc>
          <w:tcPr>
            <w:tcW w:w="735" w:type="dxa"/>
            <w:vAlign w:val="center"/>
          </w:tcPr>
          <w:p>
            <w:pPr>
              <w:widowControl/>
              <w:autoSpaceDE/>
              <w:autoSpaceDN/>
              <w:jc w:val="both"/>
              <w:rPr>
                <w:b/>
                <w:bCs/>
                <w:kern w:val="2"/>
                <w:sz w:val="24"/>
                <w:szCs w:val="24"/>
                <w:highlight w:val="none"/>
              </w:rPr>
            </w:pPr>
            <w:r>
              <w:rPr>
                <w:rFonts w:cs="Arial"/>
                <w:b/>
                <w:bCs/>
                <w:sz w:val="24"/>
                <w:szCs w:val="24"/>
                <w:highlight w:val="none"/>
              </w:rPr>
              <w:t>序号</w:t>
            </w:r>
          </w:p>
        </w:tc>
        <w:tc>
          <w:tcPr>
            <w:tcW w:w="2031" w:type="dxa"/>
            <w:vAlign w:val="center"/>
          </w:tcPr>
          <w:p>
            <w:pPr>
              <w:widowControl/>
              <w:autoSpaceDE/>
              <w:autoSpaceDN/>
              <w:jc w:val="center"/>
              <w:rPr>
                <w:b/>
                <w:bCs/>
                <w:kern w:val="2"/>
                <w:sz w:val="24"/>
                <w:szCs w:val="24"/>
                <w:highlight w:val="none"/>
              </w:rPr>
            </w:pPr>
            <w:r>
              <w:rPr>
                <w:rFonts w:cs="Arial"/>
                <w:b/>
                <w:bCs/>
                <w:sz w:val="24"/>
                <w:szCs w:val="24"/>
                <w:highlight w:val="none"/>
              </w:rPr>
              <w:t>评分项目</w:t>
            </w:r>
          </w:p>
        </w:tc>
        <w:tc>
          <w:tcPr>
            <w:tcW w:w="5670" w:type="dxa"/>
            <w:vAlign w:val="center"/>
          </w:tcPr>
          <w:p>
            <w:pPr>
              <w:widowControl/>
              <w:autoSpaceDE/>
              <w:autoSpaceDN/>
              <w:jc w:val="center"/>
              <w:rPr>
                <w:b/>
                <w:bCs/>
                <w:kern w:val="2"/>
                <w:sz w:val="24"/>
                <w:szCs w:val="24"/>
                <w:highlight w:val="none"/>
              </w:rPr>
            </w:pPr>
            <w:r>
              <w:rPr>
                <w:rFonts w:cs="Arial"/>
                <w:b/>
                <w:bCs/>
                <w:sz w:val="24"/>
                <w:szCs w:val="24"/>
                <w:highlight w:val="none"/>
              </w:rPr>
              <w:t>分值评分参考及范围</w:t>
            </w:r>
          </w:p>
        </w:tc>
        <w:tc>
          <w:tcPr>
            <w:tcW w:w="709" w:type="dxa"/>
            <w:vAlign w:val="center"/>
          </w:tcPr>
          <w:p>
            <w:pPr>
              <w:widowControl/>
              <w:autoSpaceDE/>
              <w:autoSpaceDN/>
              <w:jc w:val="center"/>
              <w:rPr>
                <w:b/>
                <w:bCs/>
                <w:kern w:val="2"/>
                <w:sz w:val="24"/>
                <w:szCs w:val="24"/>
                <w:highlight w:val="none"/>
                <w:lang w:bidi="ar"/>
              </w:rPr>
            </w:pPr>
            <w:r>
              <w:rPr>
                <w:rFonts w:hint="eastAsia" w:cs="Arial"/>
                <w:b/>
                <w:bCs/>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5" w:type="dxa"/>
            <w:vAlign w:val="center"/>
          </w:tcPr>
          <w:p>
            <w:pPr>
              <w:pStyle w:val="26"/>
              <w:spacing w:before="165"/>
              <w:ind w:left="10"/>
              <w:jc w:val="center"/>
              <w:rPr>
                <w:w w:val="99"/>
                <w:sz w:val="24"/>
                <w:szCs w:val="24"/>
                <w:highlight w:val="none"/>
              </w:rPr>
            </w:pPr>
            <w:r>
              <w:rPr>
                <w:rFonts w:hint="eastAsia"/>
                <w:w w:val="99"/>
                <w:sz w:val="24"/>
                <w:szCs w:val="24"/>
                <w:highlight w:val="none"/>
              </w:rPr>
              <w:t>1</w:t>
            </w:r>
          </w:p>
        </w:tc>
        <w:tc>
          <w:tcPr>
            <w:tcW w:w="2031" w:type="dxa"/>
            <w:vAlign w:val="center"/>
          </w:tcPr>
          <w:p>
            <w:pPr>
              <w:pStyle w:val="26"/>
              <w:spacing w:before="165"/>
              <w:ind w:left="10"/>
              <w:jc w:val="center"/>
              <w:rPr>
                <w:w w:val="99"/>
                <w:sz w:val="24"/>
                <w:szCs w:val="24"/>
                <w:highlight w:val="none"/>
              </w:rPr>
            </w:pPr>
            <w:r>
              <w:rPr>
                <w:w w:val="99"/>
                <w:sz w:val="24"/>
                <w:szCs w:val="24"/>
                <w:highlight w:val="none"/>
              </w:rPr>
              <w:t>商务响应</w:t>
            </w:r>
          </w:p>
        </w:tc>
        <w:tc>
          <w:tcPr>
            <w:tcW w:w="5670" w:type="dxa"/>
            <w:vAlign w:val="center"/>
          </w:tcPr>
          <w:p>
            <w:pPr>
              <w:pStyle w:val="26"/>
              <w:spacing w:before="165"/>
              <w:ind w:left="10"/>
              <w:rPr>
                <w:w w:val="99"/>
                <w:sz w:val="24"/>
                <w:szCs w:val="24"/>
                <w:highlight w:val="none"/>
              </w:rPr>
            </w:pPr>
            <w:r>
              <w:rPr>
                <w:w w:val="99"/>
                <w:sz w:val="24"/>
                <w:szCs w:val="24"/>
                <w:highlight w:val="none"/>
              </w:rPr>
              <w:t>完全满足采购项目商务要求的得满分，每项负偏离扣1分，扣完为止。</w:t>
            </w:r>
          </w:p>
        </w:tc>
        <w:tc>
          <w:tcPr>
            <w:tcW w:w="709" w:type="dxa"/>
            <w:vAlign w:val="center"/>
          </w:tcPr>
          <w:p>
            <w:pPr>
              <w:pStyle w:val="26"/>
              <w:spacing w:before="165"/>
              <w:ind w:left="10"/>
              <w:jc w:val="center"/>
              <w:rPr>
                <w:w w:val="99"/>
                <w:sz w:val="24"/>
                <w:szCs w:val="24"/>
                <w:highlight w:val="none"/>
              </w:rPr>
            </w:pPr>
            <w:r>
              <w:rPr>
                <w:w w:val="99"/>
                <w:sz w:val="24"/>
                <w:szCs w:val="24"/>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5" w:type="dxa"/>
            <w:vAlign w:val="center"/>
          </w:tcPr>
          <w:p>
            <w:pPr>
              <w:pStyle w:val="26"/>
              <w:spacing w:before="165"/>
              <w:ind w:left="10"/>
              <w:jc w:val="center"/>
              <w:rPr>
                <w:w w:val="99"/>
                <w:sz w:val="24"/>
                <w:szCs w:val="24"/>
                <w:highlight w:val="none"/>
              </w:rPr>
            </w:pPr>
            <w:r>
              <w:rPr>
                <w:w w:val="99"/>
                <w:sz w:val="24"/>
                <w:szCs w:val="24"/>
                <w:highlight w:val="none"/>
              </w:rPr>
              <w:t>2</w:t>
            </w:r>
          </w:p>
        </w:tc>
        <w:tc>
          <w:tcPr>
            <w:tcW w:w="2031" w:type="dxa"/>
            <w:vAlign w:val="center"/>
          </w:tcPr>
          <w:p>
            <w:pPr>
              <w:pStyle w:val="26"/>
              <w:spacing w:before="165"/>
              <w:ind w:left="10"/>
              <w:jc w:val="center"/>
              <w:rPr>
                <w:w w:val="99"/>
                <w:sz w:val="24"/>
                <w:szCs w:val="24"/>
                <w:highlight w:val="none"/>
              </w:rPr>
            </w:pPr>
            <w:r>
              <w:rPr>
                <w:rFonts w:hint="eastAsia"/>
                <w:w w:val="99"/>
                <w:sz w:val="24"/>
                <w:szCs w:val="24"/>
                <w:highlight w:val="none"/>
              </w:rPr>
              <w:t>省级医疗项目经验</w:t>
            </w:r>
          </w:p>
        </w:tc>
        <w:tc>
          <w:tcPr>
            <w:tcW w:w="5670" w:type="dxa"/>
            <w:vAlign w:val="center"/>
          </w:tcPr>
          <w:p>
            <w:pPr>
              <w:pStyle w:val="26"/>
              <w:spacing w:before="165"/>
              <w:ind w:left="10"/>
              <w:rPr>
                <w:w w:val="99"/>
                <w:sz w:val="24"/>
                <w:szCs w:val="24"/>
                <w:highlight w:val="none"/>
              </w:rPr>
            </w:pPr>
            <w:r>
              <w:rPr>
                <w:rFonts w:ascii="方正仿宋_GBK" w:hAnsi="方正仿宋_GBK" w:eastAsia="方正仿宋_GBK" w:cs="方正仿宋_GBK"/>
                <w:snapToGrid w:val="0"/>
                <w:sz w:val="32"/>
                <w:szCs w:val="32"/>
                <w:highlight w:val="none"/>
              </w:rPr>
              <w:t>▲</w:t>
            </w:r>
            <w:r>
              <w:rPr>
                <w:rFonts w:hint="eastAsia"/>
                <w:w w:val="99"/>
                <w:sz w:val="24"/>
                <w:szCs w:val="24"/>
                <w:highlight w:val="none"/>
              </w:rPr>
              <w:t>响应供应商有省级卫健委委托进行全省三级医院患者满意度调查经验的，有得5分，无得0分。（需提供合同复印件加盖公章，项目经验不限时间，未按要求提供不得分）</w:t>
            </w:r>
          </w:p>
        </w:tc>
        <w:tc>
          <w:tcPr>
            <w:tcW w:w="709" w:type="dxa"/>
            <w:vAlign w:val="center"/>
          </w:tcPr>
          <w:p>
            <w:pPr>
              <w:pStyle w:val="26"/>
              <w:spacing w:before="165"/>
              <w:ind w:left="10"/>
              <w:jc w:val="center"/>
              <w:rPr>
                <w:w w:val="99"/>
                <w:sz w:val="24"/>
                <w:szCs w:val="24"/>
                <w:highlight w:val="none"/>
              </w:rPr>
            </w:pPr>
            <w:r>
              <w:rPr>
                <w:w w:val="99"/>
                <w:sz w:val="24"/>
                <w:szCs w:val="24"/>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trPr>
        <w:tc>
          <w:tcPr>
            <w:tcW w:w="735" w:type="dxa"/>
            <w:vAlign w:val="center"/>
          </w:tcPr>
          <w:p>
            <w:pPr>
              <w:pStyle w:val="26"/>
              <w:spacing w:before="165"/>
              <w:ind w:left="10"/>
              <w:jc w:val="center"/>
              <w:rPr>
                <w:w w:val="99"/>
                <w:sz w:val="24"/>
                <w:szCs w:val="24"/>
                <w:highlight w:val="none"/>
              </w:rPr>
            </w:pPr>
            <w:r>
              <w:rPr>
                <w:rFonts w:hint="eastAsia"/>
                <w:w w:val="99"/>
                <w:sz w:val="24"/>
                <w:szCs w:val="24"/>
                <w:highlight w:val="none"/>
              </w:rPr>
              <w:t>2</w:t>
            </w:r>
          </w:p>
        </w:tc>
        <w:tc>
          <w:tcPr>
            <w:tcW w:w="2031" w:type="dxa"/>
            <w:vAlign w:val="center"/>
          </w:tcPr>
          <w:p>
            <w:pPr>
              <w:pStyle w:val="26"/>
              <w:spacing w:before="165"/>
              <w:ind w:left="10"/>
              <w:jc w:val="center"/>
              <w:rPr>
                <w:w w:val="99"/>
                <w:sz w:val="24"/>
                <w:szCs w:val="24"/>
                <w:highlight w:val="none"/>
              </w:rPr>
            </w:pPr>
            <w:r>
              <w:rPr>
                <w:rFonts w:hint="eastAsia"/>
                <w:w w:val="99"/>
                <w:sz w:val="24"/>
                <w:szCs w:val="24"/>
                <w:highlight w:val="none"/>
              </w:rPr>
              <w:t>201</w:t>
            </w:r>
            <w:r>
              <w:rPr>
                <w:w w:val="99"/>
                <w:sz w:val="24"/>
                <w:szCs w:val="24"/>
                <w:highlight w:val="none"/>
              </w:rPr>
              <w:t>9</w:t>
            </w:r>
            <w:r>
              <w:rPr>
                <w:rFonts w:hint="eastAsia"/>
                <w:w w:val="99"/>
                <w:sz w:val="24"/>
                <w:szCs w:val="24"/>
                <w:highlight w:val="none"/>
              </w:rPr>
              <w:t>年至今具有同个客户连续三年合作的项目经验（以项目合同为准）</w:t>
            </w:r>
          </w:p>
        </w:tc>
        <w:tc>
          <w:tcPr>
            <w:tcW w:w="5670" w:type="dxa"/>
            <w:vAlign w:val="center"/>
          </w:tcPr>
          <w:p>
            <w:pPr>
              <w:pStyle w:val="26"/>
              <w:ind w:left="11"/>
              <w:rPr>
                <w:w w:val="99"/>
                <w:sz w:val="24"/>
                <w:szCs w:val="24"/>
                <w:highlight w:val="none"/>
              </w:rPr>
            </w:pPr>
            <w:r>
              <w:rPr>
                <w:rFonts w:hint="eastAsia"/>
                <w:w w:val="99"/>
                <w:sz w:val="24"/>
                <w:szCs w:val="24"/>
                <w:highlight w:val="none"/>
              </w:rPr>
              <w:t>投标人每提供一个连续3年及以上同个客户项目经验得</w:t>
            </w:r>
            <w:r>
              <w:rPr>
                <w:w w:val="99"/>
                <w:sz w:val="24"/>
                <w:szCs w:val="24"/>
                <w:highlight w:val="none"/>
              </w:rPr>
              <w:t>2</w:t>
            </w:r>
            <w:r>
              <w:rPr>
                <w:rFonts w:hint="eastAsia"/>
                <w:w w:val="99"/>
                <w:sz w:val="24"/>
                <w:szCs w:val="24"/>
                <w:highlight w:val="none"/>
              </w:rPr>
              <w:t>分，最高</w:t>
            </w:r>
            <w:r>
              <w:rPr>
                <w:w w:val="99"/>
                <w:sz w:val="24"/>
                <w:szCs w:val="24"/>
                <w:highlight w:val="none"/>
              </w:rPr>
              <w:t>14</w:t>
            </w:r>
            <w:r>
              <w:rPr>
                <w:rFonts w:hint="eastAsia"/>
                <w:w w:val="99"/>
                <w:sz w:val="24"/>
                <w:szCs w:val="24"/>
                <w:highlight w:val="none"/>
              </w:rPr>
              <w:t>分。</w:t>
            </w:r>
          </w:p>
          <w:p>
            <w:pPr>
              <w:pStyle w:val="26"/>
              <w:ind w:left="11"/>
              <w:rPr>
                <w:w w:val="99"/>
                <w:sz w:val="24"/>
                <w:szCs w:val="24"/>
                <w:highlight w:val="none"/>
              </w:rPr>
            </w:pPr>
            <w:r>
              <w:rPr>
                <w:rFonts w:hint="eastAsia"/>
                <w:w w:val="99"/>
                <w:sz w:val="24"/>
                <w:szCs w:val="24"/>
                <w:highlight w:val="none"/>
              </w:rPr>
              <w:t>（可提供项目合同或中标通知书复印件，该时间段为201</w:t>
            </w:r>
            <w:r>
              <w:rPr>
                <w:w w:val="99"/>
                <w:sz w:val="24"/>
                <w:szCs w:val="24"/>
                <w:highlight w:val="none"/>
              </w:rPr>
              <w:t>9</w:t>
            </w:r>
            <w:r>
              <w:rPr>
                <w:rFonts w:hint="eastAsia"/>
                <w:w w:val="99"/>
                <w:sz w:val="24"/>
                <w:szCs w:val="24"/>
                <w:highlight w:val="none"/>
              </w:rPr>
              <w:t>年01 月01 日至投标文件提交截止时间为止，连续3年为一次性签订或连续签订均可）</w:t>
            </w:r>
          </w:p>
        </w:tc>
        <w:tc>
          <w:tcPr>
            <w:tcW w:w="709" w:type="dxa"/>
            <w:vAlign w:val="center"/>
          </w:tcPr>
          <w:p>
            <w:pPr>
              <w:pStyle w:val="26"/>
              <w:spacing w:before="165"/>
              <w:ind w:left="10"/>
              <w:jc w:val="center"/>
              <w:rPr>
                <w:w w:val="99"/>
                <w:sz w:val="24"/>
                <w:szCs w:val="24"/>
                <w:highlight w:val="none"/>
              </w:rPr>
            </w:pPr>
            <w:r>
              <w:rPr>
                <w:w w:val="99"/>
                <w:sz w:val="24"/>
                <w:szCs w:val="24"/>
                <w:highlight w:val="none"/>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hRule="atLeast"/>
        </w:trPr>
        <w:tc>
          <w:tcPr>
            <w:tcW w:w="735" w:type="dxa"/>
            <w:vAlign w:val="center"/>
          </w:tcPr>
          <w:p>
            <w:pPr>
              <w:pStyle w:val="26"/>
              <w:spacing w:before="165"/>
              <w:ind w:left="10"/>
              <w:jc w:val="center"/>
              <w:rPr>
                <w:w w:val="99"/>
                <w:sz w:val="24"/>
                <w:szCs w:val="24"/>
                <w:highlight w:val="none"/>
              </w:rPr>
            </w:pPr>
            <w:r>
              <w:rPr>
                <w:w w:val="99"/>
                <w:sz w:val="24"/>
                <w:szCs w:val="24"/>
                <w:highlight w:val="none"/>
              </w:rPr>
              <w:t>4</w:t>
            </w:r>
          </w:p>
        </w:tc>
        <w:tc>
          <w:tcPr>
            <w:tcW w:w="2031" w:type="dxa"/>
            <w:vAlign w:val="center"/>
          </w:tcPr>
          <w:p>
            <w:pPr>
              <w:pStyle w:val="26"/>
              <w:spacing w:before="165"/>
              <w:ind w:left="10"/>
              <w:jc w:val="center"/>
              <w:rPr>
                <w:w w:val="99"/>
                <w:sz w:val="24"/>
                <w:szCs w:val="24"/>
                <w:highlight w:val="none"/>
              </w:rPr>
            </w:pPr>
            <w:r>
              <w:rPr>
                <w:rFonts w:hint="eastAsia"/>
                <w:w w:val="99"/>
                <w:sz w:val="24"/>
                <w:szCs w:val="24"/>
                <w:highlight w:val="none"/>
              </w:rPr>
              <w:t>20</w:t>
            </w:r>
            <w:r>
              <w:rPr>
                <w:w w:val="99"/>
                <w:sz w:val="24"/>
                <w:szCs w:val="24"/>
                <w:highlight w:val="none"/>
              </w:rPr>
              <w:t>19</w:t>
            </w:r>
            <w:r>
              <w:rPr>
                <w:rFonts w:hint="eastAsia"/>
                <w:w w:val="99"/>
                <w:sz w:val="24"/>
                <w:szCs w:val="24"/>
                <w:highlight w:val="none"/>
              </w:rPr>
              <w:t>至今同类项目客户评价情况（依据对应业绩合同的业主评价）</w:t>
            </w:r>
          </w:p>
        </w:tc>
        <w:tc>
          <w:tcPr>
            <w:tcW w:w="5670" w:type="dxa"/>
            <w:vAlign w:val="center"/>
          </w:tcPr>
          <w:p>
            <w:pPr>
              <w:pStyle w:val="26"/>
              <w:spacing w:before="165"/>
              <w:ind w:left="10"/>
              <w:rPr>
                <w:w w:val="99"/>
                <w:sz w:val="24"/>
                <w:szCs w:val="24"/>
                <w:highlight w:val="none"/>
              </w:rPr>
            </w:pPr>
            <w:r>
              <w:rPr>
                <w:rFonts w:hint="eastAsia"/>
                <w:w w:val="99"/>
                <w:sz w:val="24"/>
                <w:szCs w:val="24"/>
                <w:highlight w:val="none"/>
              </w:rPr>
              <w:t>每提供一份投标人的医院满意度项目中获得用户评价良好及以上的，得2分，最高得</w:t>
            </w:r>
            <w:r>
              <w:rPr>
                <w:w w:val="99"/>
                <w:sz w:val="24"/>
                <w:szCs w:val="24"/>
                <w:highlight w:val="none"/>
              </w:rPr>
              <w:t>8</w:t>
            </w:r>
            <w:r>
              <w:rPr>
                <w:rFonts w:hint="eastAsia"/>
                <w:w w:val="99"/>
                <w:sz w:val="24"/>
                <w:szCs w:val="24"/>
                <w:highlight w:val="none"/>
              </w:rPr>
              <w:t>分。</w:t>
            </w:r>
          </w:p>
        </w:tc>
        <w:tc>
          <w:tcPr>
            <w:tcW w:w="709" w:type="dxa"/>
            <w:vAlign w:val="center"/>
          </w:tcPr>
          <w:p>
            <w:pPr>
              <w:pStyle w:val="26"/>
              <w:spacing w:before="165"/>
              <w:ind w:left="10"/>
              <w:jc w:val="center"/>
              <w:rPr>
                <w:w w:val="99"/>
                <w:sz w:val="24"/>
                <w:szCs w:val="24"/>
                <w:highlight w:val="none"/>
              </w:rPr>
            </w:pPr>
            <w:r>
              <w:rPr>
                <w:w w:val="99"/>
                <w:sz w:val="24"/>
                <w:szCs w:val="24"/>
                <w:highlight w:val="none"/>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6" w:hRule="atLeast"/>
        </w:trPr>
        <w:tc>
          <w:tcPr>
            <w:tcW w:w="735" w:type="dxa"/>
            <w:vAlign w:val="center"/>
          </w:tcPr>
          <w:p>
            <w:pPr>
              <w:pStyle w:val="26"/>
              <w:spacing w:before="165"/>
              <w:ind w:left="10"/>
              <w:jc w:val="center"/>
              <w:rPr>
                <w:w w:val="99"/>
                <w:sz w:val="24"/>
                <w:szCs w:val="24"/>
                <w:highlight w:val="none"/>
              </w:rPr>
            </w:pPr>
            <w:r>
              <w:rPr>
                <w:rFonts w:hint="eastAsia"/>
                <w:w w:val="99"/>
                <w:sz w:val="24"/>
                <w:szCs w:val="24"/>
                <w:highlight w:val="none"/>
              </w:rPr>
              <w:t>5</w:t>
            </w:r>
          </w:p>
        </w:tc>
        <w:tc>
          <w:tcPr>
            <w:tcW w:w="2031" w:type="dxa"/>
            <w:vAlign w:val="center"/>
          </w:tcPr>
          <w:p>
            <w:pPr>
              <w:pStyle w:val="26"/>
              <w:spacing w:before="165"/>
              <w:ind w:left="10"/>
              <w:jc w:val="center"/>
              <w:rPr>
                <w:color w:val="000000" w:themeColor="text1"/>
                <w:w w:val="99"/>
                <w:sz w:val="24"/>
                <w:szCs w:val="24"/>
                <w:highlight w:val="none"/>
                <w14:textFill>
                  <w14:solidFill>
                    <w14:schemeClr w14:val="tx1"/>
                  </w14:solidFill>
                </w14:textFill>
              </w:rPr>
            </w:pPr>
            <w:r>
              <w:rPr>
                <w:rFonts w:hint="eastAsia"/>
                <w:color w:val="000000" w:themeColor="text1"/>
                <w:w w:val="99"/>
                <w:sz w:val="24"/>
                <w:szCs w:val="24"/>
                <w:highlight w:val="none"/>
                <w14:textFill>
                  <w14:solidFill>
                    <w14:schemeClr w14:val="tx1"/>
                  </w14:solidFill>
                </w14:textFill>
              </w:rPr>
              <w:t>供应商标准管理体系认证情况</w:t>
            </w:r>
          </w:p>
        </w:tc>
        <w:tc>
          <w:tcPr>
            <w:tcW w:w="5670" w:type="dxa"/>
            <w:vAlign w:val="center"/>
          </w:tcPr>
          <w:p>
            <w:pPr>
              <w:pStyle w:val="26"/>
              <w:spacing w:before="165"/>
              <w:ind w:left="10"/>
              <w:rPr>
                <w:color w:val="000000" w:themeColor="text1"/>
                <w:w w:val="99"/>
                <w:sz w:val="24"/>
                <w:szCs w:val="24"/>
                <w:highlight w:val="none"/>
                <w14:textFill>
                  <w14:solidFill>
                    <w14:schemeClr w14:val="tx1"/>
                  </w14:solidFill>
                </w14:textFill>
              </w:rPr>
            </w:pPr>
            <w:r>
              <w:rPr>
                <w:rFonts w:hint="eastAsia"/>
                <w:color w:val="000000" w:themeColor="text1"/>
                <w:w w:val="99"/>
                <w:sz w:val="24"/>
                <w:szCs w:val="24"/>
                <w:highlight w:val="none"/>
                <w14:textFill>
                  <w14:solidFill>
                    <w14:schemeClr w14:val="tx1"/>
                  </w14:solidFill>
                </w14:textFill>
              </w:rPr>
              <w:t>具有质量管理体系认证证书得</w:t>
            </w:r>
            <w:r>
              <w:rPr>
                <w:color w:val="000000" w:themeColor="text1"/>
                <w:w w:val="99"/>
                <w:sz w:val="24"/>
                <w:szCs w:val="24"/>
                <w:highlight w:val="none"/>
                <w14:textFill>
                  <w14:solidFill>
                    <w14:schemeClr w14:val="tx1"/>
                  </w14:solidFill>
                </w14:textFill>
              </w:rPr>
              <w:t>3</w:t>
            </w:r>
            <w:r>
              <w:rPr>
                <w:rFonts w:hint="eastAsia"/>
                <w:color w:val="000000" w:themeColor="text1"/>
                <w:w w:val="99"/>
                <w:sz w:val="24"/>
                <w:szCs w:val="24"/>
                <w:highlight w:val="none"/>
                <w14:textFill>
                  <w14:solidFill>
                    <w14:schemeClr w14:val="tx1"/>
                  </w14:solidFill>
                </w14:textFill>
              </w:rPr>
              <w:t>分。</w:t>
            </w:r>
          </w:p>
          <w:p>
            <w:pPr>
              <w:pStyle w:val="26"/>
              <w:spacing w:before="165"/>
              <w:ind w:left="10"/>
              <w:rPr>
                <w:color w:val="000000" w:themeColor="text1"/>
                <w:w w:val="99"/>
                <w:sz w:val="24"/>
                <w:szCs w:val="24"/>
                <w:highlight w:val="none"/>
                <w14:textFill>
                  <w14:solidFill>
                    <w14:schemeClr w14:val="tx1"/>
                  </w14:solidFill>
                </w14:textFill>
              </w:rPr>
            </w:pPr>
            <w:r>
              <w:rPr>
                <w:rFonts w:hint="eastAsia"/>
                <w:color w:val="000000" w:themeColor="text1"/>
                <w:w w:val="99"/>
                <w:sz w:val="24"/>
                <w:szCs w:val="24"/>
                <w:highlight w:val="none"/>
                <w14:textFill>
                  <w14:solidFill>
                    <w14:schemeClr w14:val="tx1"/>
                  </w14:solidFill>
                </w14:textFill>
              </w:rPr>
              <w:t>具有环境管理体系认证证书得</w:t>
            </w:r>
            <w:r>
              <w:rPr>
                <w:color w:val="000000" w:themeColor="text1"/>
                <w:w w:val="99"/>
                <w:sz w:val="24"/>
                <w:szCs w:val="24"/>
                <w:highlight w:val="none"/>
                <w14:textFill>
                  <w14:solidFill>
                    <w14:schemeClr w14:val="tx1"/>
                  </w14:solidFill>
                </w14:textFill>
              </w:rPr>
              <w:t>3</w:t>
            </w:r>
            <w:r>
              <w:rPr>
                <w:rFonts w:hint="eastAsia"/>
                <w:color w:val="000000" w:themeColor="text1"/>
                <w:w w:val="99"/>
                <w:sz w:val="24"/>
                <w:szCs w:val="24"/>
                <w:highlight w:val="none"/>
                <w14:textFill>
                  <w14:solidFill>
                    <w14:schemeClr w14:val="tx1"/>
                  </w14:solidFill>
                </w14:textFill>
              </w:rPr>
              <w:t>分。</w:t>
            </w:r>
          </w:p>
          <w:p>
            <w:pPr>
              <w:pStyle w:val="26"/>
              <w:spacing w:before="165"/>
              <w:ind w:left="10"/>
              <w:rPr>
                <w:color w:val="000000" w:themeColor="text1"/>
                <w:w w:val="99"/>
                <w:sz w:val="24"/>
                <w:szCs w:val="24"/>
                <w:highlight w:val="none"/>
                <w14:textFill>
                  <w14:solidFill>
                    <w14:schemeClr w14:val="tx1"/>
                  </w14:solidFill>
                </w14:textFill>
              </w:rPr>
            </w:pPr>
            <w:r>
              <w:rPr>
                <w:rFonts w:hint="eastAsia"/>
                <w:color w:val="000000" w:themeColor="text1"/>
                <w:w w:val="99"/>
                <w:sz w:val="24"/>
                <w:szCs w:val="24"/>
                <w:highlight w:val="none"/>
                <w14:textFill>
                  <w14:solidFill>
                    <w14:schemeClr w14:val="tx1"/>
                  </w14:solidFill>
                </w14:textFill>
              </w:rPr>
              <w:t>具有职业健康管理体系认证证书得</w:t>
            </w:r>
            <w:r>
              <w:rPr>
                <w:color w:val="000000" w:themeColor="text1"/>
                <w:w w:val="99"/>
                <w:sz w:val="24"/>
                <w:szCs w:val="24"/>
                <w:highlight w:val="none"/>
                <w14:textFill>
                  <w14:solidFill>
                    <w14:schemeClr w14:val="tx1"/>
                  </w14:solidFill>
                </w14:textFill>
              </w:rPr>
              <w:t>3</w:t>
            </w:r>
            <w:r>
              <w:rPr>
                <w:rFonts w:hint="eastAsia"/>
                <w:color w:val="000000" w:themeColor="text1"/>
                <w:w w:val="99"/>
                <w:sz w:val="24"/>
                <w:szCs w:val="24"/>
                <w:highlight w:val="none"/>
                <w14:textFill>
                  <w14:solidFill>
                    <w14:schemeClr w14:val="tx1"/>
                  </w14:solidFill>
                </w14:textFill>
              </w:rPr>
              <w:t>分。</w:t>
            </w:r>
          </w:p>
          <w:p>
            <w:pPr>
              <w:pStyle w:val="26"/>
              <w:spacing w:before="165"/>
              <w:ind w:left="10"/>
              <w:rPr>
                <w:color w:val="000000" w:themeColor="text1"/>
                <w:w w:val="99"/>
                <w:sz w:val="24"/>
                <w:szCs w:val="24"/>
                <w:highlight w:val="none"/>
                <w14:textFill>
                  <w14:solidFill>
                    <w14:schemeClr w14:val="tx1"/>
                  </w14:solidFill>
                </w14:textFill>
              </w:rPr>
            </w:pPr>
            <w:r>
              <w:rPr>
                <w:rFonts w:hint="eastAsia"/>
                <w:color w:val="000000" w:themeColor="text1"/>
                <w:w w:val="99"/>
                <w:sz w:val="24"/>
                <w:szCs w:val="24"/>
                <w:highlight w:val="none"/>
                <w14:textFill>
                  <w14:solidFill>
                    <w14:schemeClr w14:val="tx1"/>
                  </w14:solidFill>
                </w14:textFill>
              </w:rPr>
              <w:t>以上全部满足得</w:t>
            </w:r>
            <w:r>
              <w:rPr>
                <w:color w:val="000000" w:themeColor="text1"/>
                <w:w w:val="99"/>
                <w:sz w:val="24"/>
                <w:szCs w:val="24"/>
                <w:highlight w:val="none"/>
                <w14:textFill>
                  <w14:solidFill>
                    <w14:schemeClr w14:val="tx1"/>
                  </w14:solidFill>
                </w14:textFill>
              </w:rPr>
              <w:t>8</w:t>
            </w:r>
            <w:r>
              <w:rPr>
                <w:rFonts w:hint="eastAsia"/>
                <w:color w:val="000000" w:themeColor="text1"/>
                <w:w w:val="99"/>
                <w:sz w:val="24"/>
                <w:szCs w:val="24"/>
                <w:highlight w:val="none"/>
                <w14:textFill>
                  <w14:solidFill>
                    <w14:schemeClr w14:val="tx1"/>
                  </w14:solidFill>
                </w14:textFill>
              </w:rPr>
              <w:t>分</w:t>
            </w:r>
          </w:p>
          <w:p>
            <w:pPr>
              <w:pStyle w:val="26"/>
              <w:spacing w:before="165"/>
              <w:ind w:left="10"/>
              <w:rPr>
                <w:color w:val="000000" w:themeColor="text1"/>
                <w:w w:val="99"/>
                <w:sz w:val="24"/>
                <w:szCs w:val="24"/>
                <w:highlight w:val="none"/>
                <w14:textFill>
                  <w14:solidFill>
                    <w14:schemeClr w14:val="tx1"/>
                  </w14:solidFill>
                </w14:textFill>
              </w:rPr>
            </w:pPr>
            <w:r>
              <w:rPr>
                <w:rFonts w:hint="eastAsia"/>
                <w:color w:val="000000" w:themeColor="text1"/>
                <w:w w:val="99"/>
                <w:sz w:val="24"/>
                <w:szCs w:val="24"/>
                <w:highlight w:val="none"/>
                <w14:textFill>
                  <w14:solidFill>
                    <w14:schemeClr w14:val="tx1"/>
                  </w14:solidFill>
                </w14:textFill>
              </w:rPr>
              <w:t>提供以上有效期内证书复印件，无提供不得分。</w:t>
            </w:r>
          </w:p>
        </w:tc>
        <w:tc>
          <w:tcPr>
            <w:tcW w:w="709" w:type="dxa"/>
            <w:vAlign w:val="center"/>
          </w:tcPr>
          <w:p>
            <w:pPr>
              <w:pStyle w:val="26"/>
              <w:spacing w:before="165"/>
              <w:ind w:left="10"/>
              <w:jc w:val="center"/>
              <w:rPr>
                <w:color w:val="000000" w:themeColor="text1"/>
                <w:w w:val="99"/>
                <w:sz w:val="24"/>
                <w:szCs w:val="24"/>
                <w:highlight w:val="none"/>
                <w14:textFill>
                  <w14:solidFill>
                    <w14:schemeClr w14:val="tx1"/>
                  </w14:solidFill>
                </w14:textFill>
              </w:rPr>
            </w:pPr>
            <w:r>
              <w:rPr>
                <w:color w:val="000000" w:themeColor="text1"/>
                <w:w w:val="99"/>
                <w:sz w:val="24"/>
                <w:szCs w:val="24"/>
                <w:highlight w:val="none"/>
                <w14:textFill>
                  <w14:solidFill>
                    <w14:schemeClr w14:val="tx1"/>
                  </w14:solidFill>
                </w14:textFill>
              </w:rPr>
              <w:t>8</w:t>
            </w:r>
          </w:p>
        </w:tc>
      </w:tr>
    </w:tbl>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3、</w:t>
      </w:r>
      <w:r>
        <w:rPr>
          <w:rFonts w:ascii="方正仿宋_GBK" w:hAnsi="方正仿宋_GBK" w:eastAsia="方正仿宋_GBK" w:cs="方正仿宋_GBK"/>
          <w:snapToGrid w:val="0"/>
          <w:sz w:val="32"/>
          <w:szCs w:val="32"/>
          <w:highlight w:val="none"/>
        </w:rPr>
        <w:t>价格评价（20分）：</w:t>
      </w:r>
    </w:p>
    <w:p>
      <w:pPr>
        <w:pStyle w:val="11"/>
        <w:spacing w:before="3"/>
        <w:ind w:left="0"/>
        <w:rPr>
          <w:rFonts w:ascii="仿宋" w:hAnsi="仿宋" w:eastAsia="仿宋"/>
          <w:sz w:val="6"/>
          <w:highlight w:val="none"/>
        </w:rPr>
      </w:pPr>
    </w:p>
    <w:tbl>
      <w:tblPr>
        <w:tblStyle w:val="24"/>
        <w:tblW w:w="9185" w:type="dxa"/>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1002"/>
        <w:gridCol w:w="6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6" w:hRule="atLeast"/>
        </w:trPr>
        <w:tc>
          <w:tcPr>
            <w:tcW w:w="1213" w:type="dxa"/>
            <w:vAlign w:val="center"/>
          </w:tcPr>
          <w:p>
            <w:pPr>
              <w:widowControl/>
              <w:autoSpaceDE/>
              <w:autoSpaceDN/>
              <w:jc w:val="center"/>
              <w:rPr>
                <w:rFonts w:cs="Arial"/>
                <w:b/>
                <w:bCs/>
                <w:sz w:val="24"/>
                <w:szCs w:val="24"/>
                <w:highlight w:val="none"/>
              </w:rPr>
            </w:pPr>
            <w:r>
              <w:rPr>
                <w:rFonts w:cs="Arial"/>
                <w:b/>
                <w:bCs/>
                <w:sz w:val="24"/>
                <w:szCs w:val="24"/>
                <w:highlight w:val="none"/>
              </w:rPr>
              <w:t>评审项目</w:t>
            </w:r>
          </w:p>
        </w:tc>
        <w:tc>
          <w:tcPr>
            <w:tcW w:w="1002" w:type="dxa"/>
            <w:vAlign w:val="center"/>
          </w:tcPr>
          <w:p>
            <w:pPr>
              <w:widowControl/>
              <w:autoSpaceDE/>
              <w:autoSpaceDN/>
              <w:jc w:val="center"/>
              <w:rPr>
                <w:rFonts w:cs="Arial"/>
                <w:b/>
                <w:bCs/>
                <w:sz w:val="24"/>
                <w:szCs w:val="24"/>
                <w:highlight w:val="none"/>
              </w:rPr>
            </w:pPr>
            <w:r>
              <w:rPr>
                <w:rFonts w:cs="Arial"/>
                <w:b/>
                <w:bCs/>
                <w:sz w:val="24"/>
                <w:szCs w:val="24"/>
                <w:highlight w:val="none"/>
              </w:rPr>
              <w:t>分值</w:t>
            </w:r>
          </w:p>
        </w:tc>
        <w:tc>
          <w:tcPr>
            <w:tcW w:w="6970" w:type="dxa"/>
            <w:vAlign w:val="center"/>
          </w:tcPr>
          <w:p>
            <w:pPr>
              <w:widowControl/>
              <w:autoSpaceDE/>
              <w:autoSpaceDN/>
              <w:jc w:val="center"/>
              <w:rPr>
                <w:rFonts w:cs="Arial"/>
                <w:b/>
                <w:bCs/>
                <w:sz w:val="24"/>
                <w:szCs w:val="24"/>
                <w:highlight w:val="none"/>
              </w:rPr>
            </w:pPr>
            <w:r>
              <w:rPr>
                <w:rFonts w:cs="Arial"/>
                <w:b/>
                <w:bCs/>
                <w:sz w:val="24"/>
                <w:szCs w:val="24"/>
                <w:highlight w:val="none"/>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1213" w:type="dxa"/>
            <w:vAlign w:val="center"/>
          </w:tcPr>
          <w:p>
            <w:pPr>
              <w:pStyle w:val="26"/>
              <w:jc w:val="center"/>
              <w:rPr>
                <w:bCs/>
                <w:w w:val="95"/>
                <w:sz w:val="24"/>
                <w:highlight w:val="none"/>
              </w:rPr>
            </w:pPr>
            <w:r>
              <w:rPr>
                <w:bCs/>
                <w:w w:val="95"/>
                <w:sz w:val="24"/>
                <w:highlight w:val="none"/>
              </w:rPr>
              <w:t>价格</w:t>
            </w:r>
          </w:p>
        </w:tc>
        <w:tc>
          <w:tcPr>
            <w:tcW w:w="1002" w:type="dxa"/>
            <w:vAlign w:val="center"/>
          </w:tcPr>
          <w:p>
            <w:pPr>
              <w:pStyle w:val="26"/>
              <w:jc w:val="center"/>
              <w:rPr>
                <w:bCs/>
                <w:w w:val="95"/>
                <w:sz w:val="24"/>
                <w:highlight w:val="none"/>
              </w:rPr>
            </w:pPr>
            <w:r>
              <w:rPr>
                <w:bCs/>
                <w:w w:val="95"/>
                <w:sz w:val="24"/>
                <w:highlight w:val="none"/>
              </w:rPr>
              <w:t>20</w:t>
            </w:r>
          </w:p>
        </w:tc>
        <w:tc>
          <w:tcPr>
            <w:tcW w:w="6970" w:type="dxa"/>
            <w:vAlign w:val="center"/>
          </w:tcPr>
          <w:p>
            <w:pPr>
              <w:pStyle w:val="26"/>
              <w:spacing w:line="267" w:lineRule="exact"/>
              <w:ind w:left="107"/>
              <w:jc w:val="both"/>
              <w:rPr>
                <w:bCs/>
                <w:w w:val="95"/>
                <w:sz w:val="24"/>
                <w:highlight w:val="none"/>
              </w:rPr>
            </w:pPr>
            <w:r>
              <w:rPr>
                <w:rFonts w:hint="eastAsia"/>
                <w:bCs/>
                <w:w w:val="95"/>
                <w:sz w:val="24"/>
                <w:highlight w:val="none"/>
              </w:rPr>
              <w:t>投标报价得分</w:t>
            </w:r>
            <w:r>
              <w:rPr>
                <w:bCs/>
                <w:w w:val="95"/>
                <w:sz w:val="24"/>
                <w:highlight w:val="none"/>
              </w:rPr>
              <w:t>=（评标基准价/投标报价）×价格权值×100</w:t>
            </w:r>
          </w:p>
        </w:tc>
      </w:tr>
    </w:tbl>
    <w:p>
      <w:pPr>
        <w:autoSpaceDE/>
        <w:autoSpaceDN/>
        <w:spacing w:line="580" w:lineRule="exact"/>
        <w:jc w:val="both"/>
        <w:outlineLvl w:val="1"/>
        <w:rPr>
          <w:rFonts w:ascii="方正楷体_GBK" w:hAnsi="方正楷体_GBK" w:eastAsia="方正楷体_GBK" w:cs="方正楷体_GBK"/>
          <w:snapToGrid w:val="0"/>
          <w:sz w:val="32"/>
          <w:szCs w:val="32"/>
          <w:highlight w:val="none"/>
        </w:rPr>
      </w:pPr>
      <w:r>
        <w:rPr>
          <w:rFonts w:hint="eastAsia" w:ascii="方正楷体_GBK" w:hAnsi="方正楷体_GBK" w:eastAsia="方正楷体_GBK" w:cs="方正楷体_GBK"/>
          <w:snapToGrid w:val="0"/>
          <w:sz w:val="32"/>
          <w:szCs w:val="32"/>
          <w:highlight w:val="none"/>
        </w:rPr>
        <w:t>七</w:t>
      </w:r>
      <w:r>
        <w:rPr>
          <w:rFonts w:ascii="方正楷体_GBK" w:hAnsi="方正楷体_GBK" w:eastAsia="方正楷体_GBK" w:cs="方正楷体_GBK"/>
          <w:snapToGrid w:val="0"/>
          <w:sz w:val="32"/>
          <w:szCs w:val="32"/>
          <w:highlight w:val="none"/>
        </w:rPr>
        <w:t>、现场管理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中标人在实施全过程中需服从招标人现场代表或监理代表的统一管理和监督检查。</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投标人应提供具体的</w:t>
      </w:r>
      <w:r>
        <w:rPr>
          <w:rFonts w:hint="eastAsia" w:ascii="方正仿宋_GBK" w:hAnsi="方正仿宋_GBK" w:eastAsia="方正仿宋_GBK" w:cs="方正仿宋_GBK"/>
          <w:snapToGrid w:val="0"/>
          <w:sz w:val="32"/>
          <w:szCs w:val="32"/>
          <w:highlight w:val="none"/>
        </w:rPr>
        <w:t>调查</w:t>
      </w:r>
      <w:r>
        <w:rPr>
          <w:rFonts w:ascii="方正仿宋_GBK" w:hAnsi="方正仿宋_GBK" w:eastAsia="方正仿宋_GBK" w:cs="方正仿宋_GBK"/>
          <w:snapToGrid w:val="0"/>
          <w:sz w:val="32"/>
          <w:szCs w:val="32"/>
          <w:highlight w:val="none"/>
        </w:rPr>
        <w:t>方案，包括</w:t>
      </w:r>
      <w:r>
        <w:rPr>
          <w:rFonts w:hint="eastAsia" w:ascii="方正仿宋_GBK" w:hAnsi="方正仿宋_GBK" w:eastAsia="方正仿宋_GBK" w:cs="方正仿宋_GBK"/>
          <w:snapToGrid w:val="0"/>
          <w:sz w:val="32"/>
          <w:szCs w:val="32"/>
          <w:highlight w:val="none"/>
        </w:rPr>
        <w:t>调查计划、资源投入、成果产出等</w:t>
      </w:r>
      <w:r>
        <w:rPr>
          <w:rFonts w:ascii="方正仿宋_GBK" w:hAnsi="方正仿宋_GBK" w:eastAsia="方正仿宋_GBK" w:cs="方正仿宋_GBK"/>
          <w:snapToGrid w:val="0"/>
          <w:sz w:val="32"/>
          <w:szCs w:val="32"/>
          <w:highlight w:val="none"/>
        </w:rPr>
        <w:t>。</w:t>
      </w:r>
    </w:p>
    <w:p>
      <w:pPr>
        <w:autoSpaceDE/>
        <w:autoSpaceDN/>
        <w:spacing w:line="580" w:lineRule="exact"/>
        <w:jc w:val="both"/>
        <w:outlineLvl w:val="1"/>
        <w:rPr>
          <w:rFonts w:ascii="方正楷体_GBK" w:hAnsi="方正楷体_GBK" w:eastAsia="方正楷体_GBK" w:cs="方正楷体_GBK"/>
          <w:snapToGrid w:val="0"/>
          <w:sz w:val="32"/>
          <w:szCs w:val="32"/>
          <w:highlight w:val="none"/>
        </w:rPr>
      </w:pPr>
      <w:r>
        <w:rPr>
          <w:rFonts w:hint="eastAsia" w:ascii="方正楷体_GBK" w:hAnsi="方正楷体_GBK" w:eastAsia="方正楷体_GBK" w:cs="方正楷体_GBK"/>
          <w:snapToGrid w:val="0"/>
          <w:sz w:val="32"/>
          <w:szCs w:val="32"/>
          <w:highlight w:val="none"/>
        </w:rPr>
        <w:t>八</w:t>
      </w:r>
      <w:r>
        <w:rPr>
          <w:rFonts w:ascii="方正楷体_GBK" w:hAnsi="方正楷体_GBK" w:eastAsia="方正楷体_GBK" w:cs="方正楷体_GBK"/>
          <w:snapToGrid w:val="0"/>
          <w:sz w:val="32"/>
          <w:szCs w:val="32"/>
          <w:highlight w:val="none"/>
        </w:rPr>
        <w:t>、报价要求</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1、采用人民币报价，投标人报价中必须包括项目全部内容的费用（包括调研费、专用软件工具使用费、税金等），费用不管是否在投标人报价书中单列，均视为投标总价中已包括该费用。</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★2、投标人的投标报价比采购预算价低 25%以上（含 25%），有可能影响服务质量或不能诚信履约的，投标人按要求提供了报价合理性的书面说明或证明，且评标委员会认定投标人对此报价的书面说明或证明材料可以佐证此报价的服务质量和具有合理履约能力的予以通过审查，否则不予通过审查（说明：投标人的投标报价比采购预算价低 25%以上（含 25%），投标人的投标文件提供书面说明或成本清单等相关证明材料）。</w:t>
      </w:r>
    </w:p>
    <w:p>
      <w:pPr>
        <w:rPr>
          <w:highlight w:val="none"/>
        </w:rPr>
      </w:pPr>
    </w:p>
    <w:p>
      <w:pPr>
        <w:autoSpaceDE/>
        <w:autoSpaceDN/>
        <w:jc w:val="center"/>
        <w:outlineLvl w:val="0"/>
        <w:rPr>
          <w:rFonts w:ascii="方正黑体_GBK" w:hAnsi="方正黑体_GBK" w:eastAsia="方正黑体_GBK" w:cs="方正黑体_GBK"/>
          <w:bCs/>
          <w:snapToGrid w:val="0"/>
          <w:sz w:val="32"/>
          <w:szCs w:val="32"/>
          <w:highlight w:val="none"/>
        </w:rPr>
      </w:pPr>
      <w:r>
        <w:rPr>
          <w:rFonts w:hint="eastAsia" w:ascii="方正黑体_GBK" w:hAnsi="方正黑体_GBK" w:eastAsia="方正黑体_GBK" w:cs="方正黑体_GBK"/>
          <w:bCs/>
          <w:snapToGrid w:val="0"/>
          <w:sz w:val="32"/>
          <w:szCs w:val="32"/>
          <w:highlight w:val="none"/>
        </w:rPr>
        <w:t>第三部分</w:t>
      </w:r>
      <w:r>
        <w:rPr>
          <w:rFonts w:hint="eastAsia" w:ascii="方正黑体_GBK" w:hAnsi="方正黑体_GBK" w:eastAsia="方正黑体_GBK" w:cs="方正黑体_GBK"/>
          <w:bCs/>
          <w:snapToGrid w:val="0"/>
          <w:sz w:val="32"/>
          <w:szCs w:val="32"/>
          <w:highlight w:val="none"/>
        </w:rPr>
        <w:tab/>
      </w:r>
      <w:r>
        <w:rPr>
          <w:rFonts w:hint="eastAsia" w:ascii="方正黑体_GBK" w:hAnsi="方正黑体_GBK" w:eastAsia="方正黑体_GBK" w:cs="方正黑体_GBK"/>
          <w:bCs/>
          <w:snapToGrid w:val="0"/>
          <w:sz w:val="32"/>
          <w:szCs w:val="32"/>
          <w:highlight w:val="none"/>
        </w:rPr>
        <w:t>投标人须知</w:t>
      </w:r>
    </w:p>
    <w:p>
      <w:pPr>
        <w:autoSpaceDE/>
        <w:autoSpaceDN/>
        <w:spacing w:line="580" w:lineRule="exact"/>
        <w:jc w:val="both"/>
        <w:outlineLvl w:val="1"/>
        <w:rPr>
          <w:rFonts w:ascii="方正楷体_GBK" w:hAnsi="方正楷体_GBK" w:eastAsia="方正楷体_GBK" w:cs="方正楷体_GBK"/>
          <w:snapToGrid w:val="0"/>
          <w:sz w:val="32"/>
          <w:szCs w:val="32"/>
          <w:highlight w:val="none"/>
        </w:rPr>
      </w:pPr>
      <w:r>
        <w:rPr>
          <w:rFonts w:ascii="方正楷体_GBK" w:hAnsi="方正楷体_GBK" w:eastAsia="方正楷体_GBK" w:cs="方正楷体_GBK"/>
          <w:snapToGrid w:val="0"/>
          <w:sz w:val="32"/>
          <w:szCs w:val="32"/>
          <w:highlight w:val="none"/>
        </w:rPr>
        <w:t>一、说</w:t>
      </w:r>
      <w:r>
        <w:rPr>
          <w:rFonts w:ascii="方正楷体_GBK" w:hAnsi="方正楷体_GBK" w:eastAsia="方正楷体_GBK" w:cs="方正楷体_GBK"/>
          <w:snapToGrid w:val="0"/>
          <w:sz w:val="32"/>
          <w:szCs w:val="32"/>
          <w:highlight w:val="none"/>
        </w:rPr>
        <w:tab/>
      </w:r>
      <w:r>
        <w:rPr>
          <w:rFonts w:ascii="方正楷体_GBK" w:hAnsi="方正楷体_GBK" w:eastAsia="方正楷体_GBK" w:cs="方正楷体_GBK"/>
          <w:snapToGrid w:val="0"/>
          <w:sz w:val="32"/>
          <w:szCs w:val="32"/>
          <w:highlight w:val="none"/>
        </w:rPr>
        <w:t>明</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1、适用范围：本谈判文件适用于本投标邀请中所述项目的采购项目。</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2、“采购人”是指：惠州市第六人民医院。</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3、合格的投标人是指符合以下条件的：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符合投标文件“供应商资格”规定要求；</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（2）</w:t>
      </w:r>
      <w:r>
        <w:rPr>
          <w:rFonts w:ascii="方正仿宋_GBK" w:hAnsi="方正仿宋_GBK" w:eastAsia="方正仿宋_GBK" w:cs="方正仿宋_GBK"/>
          <w:snapToGrid w:val="0"/>
          <w:sz w:val="32"/>
          <w:szCs w:val="32"/>
          <w:highlight w:val="none"/>
        </w:rPr>
        <w:t>按要求进行了资格预审并通过；</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4、“中标人”是指经法定程序确定并授予合同的投标人；</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5、合格的货物和服务：</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“服务”是指除货物和工程以外的采购对象，其中包括：投标人需承担的运输、安装、技术支持、培训以及谈判文件规定的其他服务。</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6、投标人不得恶意竞价。对于报价低于平均报价 60%的，评审小组有权要求投标人在现场或规定的时间内提供相关证明材料，规定时间内不能提供材料或者无法证明的，评审小组有权裁定该报价是否为恶意竞价。恶意竞价的谈判人将被取消中标资格，并列入黑名单，在此后三年内不得参与我院任何采买活动。</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如出现两家及以上报价差异巨大（原则上为低于预算价 50%的或成倍数下降的），评审小组有权对各报价进行核查判定是否报价合理，有权否决谈判评审项目的预算价并要求重新审计。</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7、无效报价的认定</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报价文件没有有效签署的；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（2）</w:t>
      </w:r>
      <w:r>
        <w:rPr>
          <w:rFonts w:ascii="方正仿宋_GBK" w:hAnsi="方正仿宋_GBK" w:eastAsia="方正仿宋_GBK" w:cs="方正仿宋_GBK"/>
          <w:snapToGrid w:val="0"/>
          <w:sz w:val="32"/>
          <w:szCs w:val="32"/>
          <w:highlight w:val="none"/>
        </w:rPr>
        <w:t>报价文件不响应评审小组评审时质疑提出的问题，且该问题将可能给采购人造成重大影响的；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（3）</w:t>
      </w:r>
      <w:r>
        <w:rPr>
          <w:rFonts w:ascii="方正仿宋_GBK" w:hAnsi="方正仿宋_GBK" w:eastAsia="方正仿宋_GBK" w:cs="方正仿宋_GBK"/>
          <w:snapToGrid w:val="0"/>
          <w:sz w:val="32"/>
          <w:szCs w:val="32"/>
          <w:highlight w:val="none"/>
        </w:rPr>
        <w:t>报价文件的报价明显过低，可能低于其成本，而投标响应供应商又不能作出合理说明的；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（4）</w:t>
      </w:r>
      <w:r>
        <w:rPr>
          <w:rFonts w:ascii="方正仿宋_GBK" w:hAnsi="方正仿宋_GBK" w:eastAsia="方正仿宋_GBK" w:cs="方正仿宋_GBK"/>
          <w:snapToGrid w:val="0"/>
          <w:sz w:val="32"/>
          <w:szCs w:val="32"/>
          <w:highlight w:val="none"/>
        </w:rPr>
        <w:t>报价文件的总价超出采购预算且采购人不能接受的；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（5）</w:t>
      </w:r>
      <w:r>
        <w:rPr>
          <w:rFonts w:ascii="方正仿宋_GBK" w:hAnsi="方正仿宋_GBK" w:eastAsia="方正仿宋_GBK" w:cs="方正仿宋_GBK"/>
          <w:snapToGrid w:val="0"/>
          <w:sz w:val="32"/>
          <w:szCs w:val="32"/>
          <w:highlight w:val="none"/>
        </w:rPr>
        <w:t>报价文件附有采购人不能接受的条件的；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（6）</w:t>
      </w:r>
      <w:r>
        <w:rPr>
          <w:rFonts w:ascii="方正仿宋_GBK" w:hAnsi="方正仿宋_GBK" w:eastAsia="方正仿宋_GBK" w:cs="方正仿宋_GBK"/>
          <w:snapToGrid w:val="0"/>
          <w:sz w:val="32"/>
          <w:szCs w:val="32"/>
          <w:highlight w:val="none"/>
        </w:rPr>
        <w:t>评审小组认为本次报价不响应谈判文件实质性要求的；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（7）</w:t>
      </w:r>
      <w:r>
        <w:rPr>
          <w:rFonts w:ascii="方正仿宋_GBK" w:hAnsi="方正仿宋_GBK" w:eastAsia="方正仿宋_GBK" w:cs="方正仿宋_GBK"/>
          <w:snapToGrid w:val="0"/>
          <w:sz w:val="32"/>
          <w:szCs w:val="32"/>
          <w:highlight w:val="none"/>
        </w:rPr>
        <w:t>其它评审小组一致认为应作为无效报价的。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8、有以下情形的，将视为投标人互相串通投标，不得报名或投标无效：</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1</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不同投标人委托同一单位或个人办理投标事宜；</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（2）</w:t>
      </w:r>
      <w:r>
        <w:rPr>
          <w:rFonts w:ascii="方正仿宋_GBK" w:hAnsi="方正仿宋_GBK" w:eastAsia="方正仿宋_GBK" w:cs="方正仿宋_GBK"/>
          <w:snapToGrid w:val="0"/>
          <w:sz w:val="32"/>
          <w:szCs w:val="32"/>
          <w:highlight w:val="none"/>
        </w:rPr>
        <w:t>不同投标人的谈判响应文件由同一单位或个人编制；</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（3）</w:t>
      </w:r>
      <w:r>
        <w:rPr>
          <w:rFonts w:ascii="方正仿宋_GBK" w:hAnsi="方正仿宋_GBK" w:eastAsia="方正仿宋_GBK" w:cs="方正仿宋_GBK"/>
          <w:snapToGrid w:val="0"/>
          <w:sz w:val="32"/>
          <w:szCs w:val="32"/>
          <w:highlight w:val="none"/>
        </w:rPr>
        <w:t>不同投标人的谈判响应文件异常一致或者投标报价呈规律性差异；</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（4）</w:t>
      </w:r>
      <w:r>
        <w:rPr>
          <w:rFonts w:ascii="方正仿宋_GBK" w:hAnsi="方正仿宋_GBK" w:eastAsia="方正仿宋_GBK" w:cs="方正仿宋_GBK"/>
          <w:snapToGrid w:val="0"/>
          <w:sz w:val="32"/>
          <w:szCs w:val="32"/>
          <w:highlight w:val="none"/>
        </w:rPr>
        <w:t>不同投标人的谈判响应文件相互混装；</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（5）</w:t>
      </w:r>
      <w:r>
        <w:rPr>
          <w:rFonts w:ascii="方正仿宋_GBK" w:hAnsi="方正仿宋_GBK" w:eastAsia="方正仿宋_GBK" w:cs="方正仿宋_GBK"/>
          <w:snapToGrid w:val="0"/>
          <w:sz w:val="32"/>
          <w:szCs w:val="32"/>
          <w:highlight w:val="none"/>
        </w:rPr>
        <w:t>法定代表人为同一个人的两个及两个以上法人，母公司、全资子公司及其控股公司或有共同股东组成或主要管理人员中有共同人员的；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（6）</w:t>
      </w:r>
      <w:r>
        <w:rPr>
          <w:rFonts w:ascii="方正仿宋_GBK" w:hAnsi="方正仿宋_GBK" w:eastAsia="方正仿宋_GBK" w:cs="方正仿宋_GBK"/>
          <w:snapToGrid w:val="0"/>
          <w:sz w:val="32"/>
          <w:szCs w:val="32"/>
          <w:highlight w:val="none"/>
        </w:rPr>
        <w:t>不同投标人的投标响应文件载明的项目管理成员或者联系人为同一人。</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9、谈判人有下列弄虚作假的行为的，不得报名或投标无效：</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使用伪造、变造的许可证件；</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（2）</w:t>
      </w:r>
      <w:r>
        <w:rPr>
          <w:rFonts w:ascii="方正仿宋_GBK" w:hAnsi="方正仿宋_GBK" w:eastAsia="方正仿宋_GBK" w:cs="方正仿宋_GBK"/>
          <w:snapToGrid w:val="0"/>
          <w:sz w:val="32"/>
          <w:szCs w:val="32"/>
          <w:highlight w:val="none"/>
        </w:rPr>
        <w:t>提供虚假的财务状况或者业绩；</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（3）</w:t>
      </w:r>
      <w:r>
        <w:rPr>
          <w:rFonts w:ascii="方正仿宋_GBK" w:hAnsi="方正仿宋_GBK" w:eastAsia="方正仿宋_GBK" w:cs="方正仿宋_GBK"/>
          <w:snapToGrid w:val="0"/>
          <w:sz w:val="32"/>
          <w:szCs w:val="32"/>
          <w:highlight w:val="none"/>
        </w:rPr>
        <w:t>提供虚假的项目负责人或者主要技术人员简历、劳动关系证明；</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（4）</w:t>
      </w:r>
      <w:r>
        <w:rPr>
          <w:rFonts w:ascii="方正仿宋_GBK" w:hAnsi="方正仿宋_GBK" w:eastAsia="方正仿宋_GBK" w:cs="方正仿宋_GBK"/>
          <w:snapToGrid w:val="0"/>
          <w:sz w:val="32"/>
          <w:szCs w:val="32"/>
          <w:highlight w:val="none"/>
        </w:rPr>
        <w:t>提供虚假的信用状况；</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（5）</w:t>
      </w:r>
      <w:r>
        <w:rPr>
          <w:rFonts w:ascii="方正仿宋_GBK" w:hAnsi="方正仿宋_GBK" w:eastAsia="方正仿宋_GBK" w:cs="方正仿宋_GBK"/>
          <w:snapToGrid w:val="0"/>
          <w:sz w:val="32"/>
          <w:szCs w:val="32"/>
          <w:highlight w:val="none"/>
        </w:rPr>
        <w:t>其他弄虚作假的行为。</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（6）</w:t>
      </w:r>
      <w:r>
        <w:rPr>
          <w:rFonts w:ascii="方正仿宋_GBK" w:hAnsi="方正仿宋_GBK" w:eastAsia="方正仿宋_GBK" w:cs="方正仿宋_GBK"/>
          <w:snapToGrid w:val="0"/>
          <w:sz w:val="32"/>
          <w:szCs w:val="32"/>
          <w:highlight w:val="none"/>
        </w:rPr>
        <w:t>谈判响应文件或报价文件中的签名代签或冒签的；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（7）</w:t>
      </w:r>
      <w:r>
        <w:rPr>
          <w:rFonts w:ascii="方正仿宋_GBK" w:hAnsi="方正仿宋_GBK" w:eastAsia="方正仿宋_GBK" w:cs="方正仿宋_GBK"/>
          <w:snapToGrid w:val="0"/>
          <w:sz w:val="32"/>
          <w:szCs w:val="32"/>
          <w:highlight w:val="none"/>
        </w:rPr>
        <w:t>被授权人委托他人投标，无委托书的。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10、“★”号条款：必须实质响应的条款，投标人不可负偏离，负偏离将导致技术分不得分，评审时认定为废标。“▲”号条款：可以偏离的响应条款，将影响谈判人的技术得分。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11、投标响应文件自谈判响应文件接收截止时点起，三个月内有效。</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12、以下情形，拒收投标响应文件：</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逾期送达；</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（2）</w:t>
      </w:r>
      <w:r>
        <w:rPr>
          <w:rFonts w:ascii="方正仿宋_GBK" w:hAnsi="方正仿宋_GBK" w:eastAsia="方正仿宋_GBK" w:cs="方正仿宋_GBK"/>
          <w:snapToGrid w:val="0"/>
          <w:sz w:val="32"/>
          <w:szCs w:val="32"/>
          <w:highlight w:val="none"/>
        </w:rPr>
        <w:t>未按投标文件要求密封。</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13、有下列情形，评审小组将否决其投标：</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投标响应文件未经投标单位盖章和法人或单位负责人签字；</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（2）</w:t>
      </w:r>
      <w:r>
        <w:rPr>
          <w:rFonts w:ascii="方正仿宋_GBK" w:hAnsi="方正仿宋_GBK" w:eastAsia="方正仿宋_GBK" w:cs="方正仿宋_GBK"/>
          <w:snapToGrid w:val="0"/>
          <w:sz w:val="32"/>
          <w:szCs w:val="32"/>
          <w:highlight w:val="none"/>
        </w:rPr>
        <w:t>投标联合体没有提交共同投标协议；</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（3）</w:t>
      </w:r>
      <w:r>
        <w:rPr>
          <w:rFonts w:ascii="方正仿宋_GBK" w:hAnsi="方正仿宋_GBK" w:eastAsia="方正仿宋_GBK" w:cs="方正仿宋_GBK"/>
          <w:snapToGrid w:val="0"/>
          <w:sz w:val="32"/>
          <w:szCs w:val="32"/>
          <w:highlight w:val="none"/>
        </w:rPr>
        <w:t>同一投标人提交两个以上不同的投标响应文件或者投标报价，谈判文件要求提交备选投标的除外；</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（4）</w:t>
      </w:r>
      <w:r>
        <w:rPr>
          <w:rFonts w:ascii="方正仿宋_GBK" w:hAnsi="方正仿宋_GBK" w:eastAsia="方正仿宋_GBK" w:cs="方正仿宋_GBK"/>
          <w:snapToGrid w:val="0"/>
          <w:sz w:val="32"/>
          <w:szCs w:val="32"/>
          <w:highlight w:val="none"/>
        </w:rPr>
        <w:t>投标报价低于成本或者高于投标最高投标限价的；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（5）</w:t>
      </w:r>
      <w:r>
        <w:rPr>
          <w:rFonts w:ascii="方正仿宋_GBK" w:hAnsi="方正仿宋_GBK" w:eastAsia="方正仿宋_GBK" w:cs="方正仿宋_GBK"/>
          <w:snapToGrid w:val="0"/>
          <w:sz w:val="32"/>
          <w:szCs w:val="32"/>
          <w:highlight w:val="none"/>
        </w:rPr>
        <w:t>投标响应文件没有对谈判文件的实质性要求和条件作出响应的，评审小组认为明显不符合评审要求的技术规格、技术标准、采购数量；</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（6）</w:t>
      </w:r>
      <w:r>
        <w:rPr>
          <w:rFonts w:ascii="方正仿宋_GBK" w:hAnsi="方正仿宋_GBK" w:eastAsia="方正仿宋_GBK" w:cs="方正仿宋_GBK"/>
          <w:snapToGrid w:val="0"/>
          <w:sz w:val="32"/>
          <w:szCs w:val="32"/>
          <w:highlight w:val="none"/>
        </w:rPr>
        <w:t>谈判人有串通投标、弄虚作假等违法行为的；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（7）</w:t>
      </w:r>
      <w:r>
        <w:rPr>
          <w:rFonts w:ascii="方正仿宋_GBK" w:hAnsi="方正仿宋_GBK" w:eastAsia="方正仿宋_GBK" w:cs="方正仿宋_GBK"/>
          <w:snapToGrid w:val="0"/>
          <w:sz w:val="32"/>
          <w:szCs w:val="32"/>
          <w:highlight w:val="none"/>
        </w:rPr>
        <w:t>谈判响应文件出现雷同内容的；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（8）</w:t>
      </w:r>
      <w:r>
        <w:rPr>
          <w:rFonts w:ascii="方正仿宋_GBK" w:hAnsi="方正仿宋_GBK" w:eastAsia="方正仿宋_GBK" w:cs="方正仿宋_GBK"/>
          <w:snapToGrid w:val="0"/>
          <w:sz w:val="32"/>
          <w:szCs w:val="32"/>
          <w:highlight w:val="none"/>
        </w:rPr>
        <w:t>开标现场存在争议的。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14、供应商在招投标过程中出现的以下不良行为的，将列入我院黑名单管理，在此后的三年内不得参与我院任何采买活动：</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远低于成本价恶意竞价或提供虚假材料谋求中标/成交的；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（2）</w:t>
      </w:r>
      <w:r>
        <w:rPr>
          <w:rFonts w:ascii="方正仿宋_GBK" w:hAnsi="方正仿宋_GBK" w:eastAsia="方正仿宋_GBK" w:cs="方正仿宋_GBK"/>
          <w:snapToGrid w:val="0"/>
          <w:sz w:val="32"/>
          <w:szCs w:val="32"/>
          <w:highlight w:val="none"/>
        </w:rPr>
        <w:t>采取不正当手段诋毁、排挤其他潜在供应商的；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（3）</w:t>
      </w:r>
      <w:r>
        <w:rPr>
          <w:rFonts w:ascii="方正仿宋_GBK" w:hAnsi="方正仿宋_GBK" w:eastAsia="方正仿宋_GBK" w:cs="方正仿宋_GBK"/>
          <w:snapToGrid w:val="0"/>
          <w:sz w:val="32"/>
          <w:szCs w:val="32"/>
          <w:highlight w:val="none"/>
        </w:rPr>
        <w:t>与其他潜在供应商恶意串通围标的；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（4）</w:t>
      </w:r>
      <w:r>
        <w:rPr>
          <w:rFonts w:ascii="方正仿宋_GBK" w:hAnsi="方正仿宋_GBK" w:eastAsia="方正仿宋_GBK" w:cs="方正仿宋_GBK"/>
          <w:snapToGrid w:val="0"/>
          <w:sz w:val="32"/>
          <w:szCs w:val="32"/>
          <w:highlight w:val="none"/>
        </w:rPr>
        <w:t>近两年内有受到上级行政部门处罚或者存在违法行为的；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（5）</w:t>
      </w:r>
      <w:r>
        <w:rPr>
          <w:rFonts w:ascii="方正仿宋_GBK" w:hAnsi="方正仿宋_GBK" w:eastAsia="方正仿宋_GBK" w:cs="方正仿宋_GBK"/>
          <w:snapToGrid w:val="0"/>
          <w:sz w:val="32"/>
          <w:szCs w:val="32"/>
          <w:highlight w:val="none"/>
        </w:rPr>
        <w:t>随意申请撤换或放弃中标/成交结果的；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（6）</w:t>
      </w:r>
      <w:r>
        <w:rPr>
          <w:rFonts w:ascii="方正仿宋_GBK" w:hAnsi="方正仿宋_GBK" w:eastAsia="方正仿宋_GBK" w:cs="方正仿宋_GBK"/>
          <w:snapToGrid w:val="0"/>
          <w:sz w:val="32"/>
          <w:szCs w:val="32"/>
          <w:highlight w:val="none"/>
        </w:rPr>
        <w:t>中标、成交后无正当理由拒绝或迟迟不签订采购合同的；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（7）</w:t>
      </w:r>
      <w:r>
        <w:rPr>
          <w:rFonts w:ascii="方正仿宋_GBK" w:hAnsi="方正仿宋_GBK" w:eastAsia="方正仿宋_GBK" w:cs="方正仿宋_GBK"/>
          <w:snapToGrid w:val="0"/>
          <w:sz w:val="32"/>
          <w:szCs w:val="32"/>
          <w:highlight w:val="none"/>
        </w:rPr>
        <w:t>中标/成交后，超过合同约定的供应（或服务）时间未按要求执行，给采购人造成损害的；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（8）</w:t>
      </w:r>
      <w:r>
        <w:rPr>
          <w:rFonts w:ascii="方正仿宋_GBK" w:hAnsi="方正仿宋_GBK" w:eastAsia="方正仿宋_GBK" w:cs="方正仿宋_GBK"/>
          <w:snapToGrid w:val="0"/>
          <w:sz w:val="32"/>
          <w:szCs w:val="32"/>
          <w:highlight w:val="none"/>
        </w:rPr>
        <w:t>在谈判采购过程中，与相关部门协商谈判的；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（9）</w:t>
      </w:r>
      <w:r>
        <w:rPr>
          <w:rFonts w:ascii="方正仿宋_GBK" w:hAnsi="方正仿宋_GBK" w:eastAsia="方正仿宋_GBK" w:cs="方正仿宋_GBK"/>
          <w:snapToGrid w:val="0"/>
          <w:sz w:val="32"/>
          <w:szCs w:val="32"/>
          <w:highlight w:val="none"/>
        </w:rPr>
        <w:t>向医院涉及的相关部门行贿或者提供不正当利益的；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0</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拒绝有关部门监督检查或者提供虚假情况的；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1</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无正当理由拒绝履行合同和有关承诺，或擅自变更、中止（终止）采购合同的；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2</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提供假冒伪劣产品或走私物品的；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3</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不遵守开标现场纪律，扰乱评审现场，影响采购活动继续进行的；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4</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开标后擅自撤回采购相应文件，影响采购活动继续进行的；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5</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中标/成交后，擅自将采购合同转包或分包给其他供应商的；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6</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不按招投标响应文件的要求和承诺执行或擅自降低投标/响应承诺的产品质量和售后服务或以次充好、偷工减料的；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7</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实际提供的有关产品性能指标和技术服务能力明显低于采购响应文件或询价、谈判时的承诺的；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8</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一年内有一次以上投诉查无实据、捏造事实或者提供虚假投诉材料的；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9</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连续两次供应商履约诚信量化评价得分不合格的供应商；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（2</w:t>
      </w:r>
      <w:r>
        <w:rPr>
          <w:rFonts w:ascii="方正仿宋_GBK" w:hAnsi="方正仿宋_GBK" w:eastAsia="方正仿宋_GBK" w:cs="方正仿宋_GBK"/>
          <w:snapToGrid w:val="0"/>
          <w:sz w:val="32"/>
          <w:szCs w:val="32"/>
          <w:highlight w:val="none"/>
        </w:rPr>
        <w:t>0</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一年内累计达两次报名且未按规定提前一天发函告知不投标的。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15、投标人在响应投标文件中必须列出具体数值，如果投标人只注明“差不多”“接近”等不明确表述，或擅自修改谈判文件的投标技术、商务等要求的将导致评审小组拒绝其投标。</w:t>
      </w:r>
    </w:p>
    <w:p>
      <w:pPr>
        <w:autoSpaceDE/>
        <w:autoSpaceDN/>
        <w:spacing w:line="580" w:lineRule="exact"/>
        <w:jc w:val="both"/>
        <w:outlineLvl w:val="1"/>
        <w:rPr>
          <w:rFonts w:ascii="方正楷体_GBK" w:hAnsi="方正楷体_GBK" w:eastAsia="方正楷体_GBK" w:cs="方正楷体_GBK"/>
          <w:snapToGrid w:val="0"/>
          <w:sz w:val="32"/>
          <w:szCs w:val="32"/>
          <w:highlight w:val="none"/>
        </w:rPr>
      </w:pPr>
      <w:r>
        <w:rPr>
          <w:rFonts w:ascii="方正楷体_GBK" w:hAnsi="方正楷体_GBK" w:eastAsia="方正楷体_GBK" w:cs="方正楷体_GBK"/>
          <w:snapToGrid w:val="0"/>
          <w:sz w:val="32"/>
          <w:szCs w:val="32"/>
          <w:highlight w:val="none"/>
        </w:rPr>
        <w:t>二、招标文件</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1、招标文件主要由 1) 投标邀请书；2) 采购项目内容；3) 投标人须知；4) 在招标过程中由招标采购单位发出的修正和补充文件等。</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w:t>
      </w:r>
      <w:r>
        <w:rPr>
          <w:rFonts w:hint="eastAsia" w:ascii="方正仿宋_GBK" w:hAnsi="方正仿宋_GBK" w:eastAsia="方正仿宋_GBK" w:cs="方正仿宋_GBK"/>
          <w:snapToGrid w:val="0"/>
          <w:sz w:val="32"/>
          <w:szCs w:val="32"/>
          <w:highlight w:val="none"/>
        </w:rPr>
        <w:t>或</w:t>
      </w:r>
      <w:r>
        <w:rPr>
          <w:rFonts w:ascii="方正仿宋_GBK" w:hAnsi="方正仿宋_GBK" w:eastAsia="方正仿宋_GBK" w:cs="方正仿宋_GBK"/>
          <w:snapToGrid w:val="0"/>
          <w:sz w:val="32"/>
          <w:szCs w:val="32"/>
          <w:highlight w:val="none"/>
        </w:rPr>
        <w:t>被认定为无效投标。</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3、</w:t>
      </w:r>
      <w:r>
        <w:rPr>
          <w:rFonts w:hint="eastAsia" w:ascii="方正仿宋_GBK" w:hAnsi="方正仿宋_GBK" w:eastAsia="方正仿宋_GBK" w:cs="方正仿宋_GBK"/>
          <w:snapToGrid w:val="0"/>
          <w:sz w:val="32"/>
          <w:szCs w:val="32"/>
          <w:highlight w:val="none"/>
        </w:rPr>
        <w:t>招标</w:t>
      </w:r>
      <w:r>
        <w:rPr>
          <w:rFonts w:ascii="方正仿宋_GBK" w:hAnsi="方正仿宋_GBK" w:eastAsia="方正仿宋_GBK" w:cs="方正仿宋_GBK"/>
          <w:snapToGrid w:val="0"/>
          <w:sz w:val="32"/>
          <w:szCs w:val="32"/>
          <w:highlight w:val="none"/>
        </w:rPr>
        <w:t>文件的澄清或修改</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1）</w:t>
      </w:r>
      <w:r>
        <w:rPr>
          <w:rFonts w:hint="eastAsia" w:ascii="方正仿宋_GBK" w:hAnsi="方正仿宋_GBK" w:eastAsia="方正仿宋_GBK" w:cs="方正仿宋_GBK"/>
          <w:snapToGrid w:val="0"/>
          <w:sz w:val="32"/>
          <w:szCs w:val="32"/>
          <w:highlight w:val="none"/>
        </w:rPr>
        <w:t>招标</w:t>
      </w:r>
      <w:r>
        <w:rPr>
          <w:rFonts w:ascii="方正仿宋_GBK" w:hAnsi="方正仿宋_GBK" w:eastAsia="方正仿宋_GBK" w:cs="方正仿宋_GBK"/>
          <w:snapToGrid w:val="0"/>
          <w:sz w:val="32"/>
          <w:szCs w:val="32"/>
          <w:highlight w:val="none"/>
        </w:rPr>
        <w:t>文件的澄清是指医院</w:t>
      </w:r>
      <w:r>
        <w:rPr>
          <w:rFonts w:hint="eastAsia" w:ascii="方正仿宋_GBK" w:hAnsi="方正仿宋_GBK" w:eastAsia="方正仿宋_GBK" w:cs="方正仿宋_GBK"/>
          <w:snapToGrid w:val="0"/>
          <w:sz w:val="32"/>
          <w:szCs w:val="32"/>
          <w:highlight w:val="none"/>
        </w:rPr>
        <w:t>客户服务</w:t>
      </w:r>
      <w:r>
        <w:rPr>
          <w:rFonts w:ascii="方正仿宋_GBK" w:hAnsi="方正仿宋_GBK" w:eastAsia="方正仿宋_GBK" w:cs="方正仿宋_GBK"/>
          <w:snapToGrid w:val="0"/>
          <w:sz w:val="32"/>
          <w:szCs w:val="32"/>
          <w:highlight w:val="none"/>
        </w:rPr>
        <w:t>部对</w:t>
      </w:r>
      <w:r>
        <w:rPr>
          <w:rFonts w:hint="eastAsia" w:ascii="方正仿宋_GBK" w:hAnsi="方正仿宋_GBK" w:eastAsia="方正仿宋_GBK" w:cs="方正仿宋_GBK"/>
          <w:snapToGrid w:val="0"/>
          <w:sz w:val="32"/>
          <w:szCs w:val="32"/>
          <w:highlight w:val="none"/>
        </w:rPr>
        <w:t>招标</w:t>
      </w:r>
      <w:r>
        <w:rPr>
          <w:rFonts w:ascii="方正仿宋_GBK" w:hAnsi="方正仿宋_GBK" w:eastAsia="方正仿宋_GBK" w:cs="方正仿宋_GBK"/>
          <w:snapToGrid w:val="0"/>
          <w:sz w:val="32"/>
          <w:szCs w:val="32"/>
          <w:highlight w:val="none"/>
        </w:rPr>
        <w:t>文件中的遗漏、错误、词义表达不清或对比较复杂的事项进行说明，回答供应商提出的各种问题。招标文件的修改是指采购人对招标文件中出现的错误进行修订。</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2）任何要求对</w:t>
      </w:r>
      <w:r>
        <w:rPr>
          <w:rFonts w:hint="eastAsia" w:ascii="方正仿宋_GBK" w:hAnsi="方正仿宋_GBK" w:eastAsia="方正仿宋_GBK" w:cs="方正仿宋_GBK"/>
          <w:snapToGrid w:val="0"/>
          <w:sz w:val="32"/>
          <w:szCs w:val="32"/>
          <w:highlight w:val="none"/>
        </w:rPr>
        <w:t>招标</w:t>
      </w:r>
      <w:r>
        <w:rPr>
          <w:rFonts w:ascii="方正仿宋_GBK" w:hAnsi="方正仿宋_GBK" w:eastAsia="方正仿宋_GBK" w:cs="方正仿宋_GBK"/>
          <w:snapToGrid w:val="0"/>
          <w:sz w:val="32"/>
          <w:szCs w:val="32"/>
          <w:highlight w:val="none"/>
        </w:rPr>
        <w:t>文件进行澄清的供应商，均应在</w:t>
      </w:r>
      <w:r>
        <w:rPr>
          <w:rFonts w:hint="eastAsia" w:ascii="方正仿宋_GBK" w:hAnsi="方正仿宋_GBK" w:eastAsia="方正仿宋_GBK" w:cs="方正仿宋_GBK"/>
          <w:snapToGrid w:val="0"/>
          <w:sz w:val="32"/>
          <w:szCs w:val="32"/>
          <w:highlight w:val="none"/>
        </w:rPr>
        <w:t>招标</w:t>
      </w:r>
      <w:r>
        <w:rPr>
          <w:rFonts w:ascii="方正仿宋_GBK" w:hAnsi="方正仿宋_GBK" w:eastAsia="方正仿宋_GBK" w:cs="方正仿宋_GBK"/>
          <w:snapToGrid w:val="0"/>
          <w:sz w:val="32"/>
          <w:szCs w:val="32"/>
          <w:highlight w:val="none"/>
        </w:rPr>
        <w:t>文件规定的比选截止时间3日之前以书面形式通知</w:t>
      </w:r>
      <w:r>
        <w:rPr>
          <w:rFonts w:hint="eastAsia" w:ascii="方正仿宋_GBK" w:hAnsi="方正仿宋_GBK" w:eastAsia="方正仿宋_GBK" w:cs="方正仿宋_GBK"/>
          <w:snapToGrid w:val="0"/>
          <w:sz w:val="32"/>
          <w:szCs w:val="32"/>
          <w:highlight w:val="none"/>
        </w:rPr>
        <w:t>客户服务部</w:t>
      </w:r>
      <w:r>
        <w:rPr>
          <w:rFonts w:ascii="方正仿宋_GBK" w:hAnsi="方正仿宋_GBK" w:eastAsia="方正仿宋_GBK" w:cs="方正仿宋_GBK"/>
          <w:snapToGrid w:val="0"/>
          <w:sz w:val="32"/>
          <w:szCs w:val="32"/>
          <w:highlight w:val="none"/>
        </w:rPr>
        <w:t>，</w:t>
      </w:r>
      <w:r>
        <w:rPr>
          <w:rFonts w:hint="eastAsia" w:ascii="方正仿宋_GBK" w:hAnsi="方正仿宋_GBK" w:eastAsia="方正仿宋_GBK" w:cs="方正仿宋_GBK"/>
          <w:snapToGrid w:val="0"/>
          <w:sz w:val="32"/>
          <w:szCs w:val="32"/>
          <w:highlight w:val="none"/>
        </w:rPr>
        <w:t>客户服务部</w:t>
      </w:r>
      <w:r>
        <w:rPr>
          <w:rFonts w:ascii="方正仿宋_GBK" w:hAnsi="方正仿宋_GBK" w:eastAsia="方正仿宋_GBK" w:cs="方正仿宋_GBK"/>
          <w:snapToGrid w:val="0"/>
          <w:sz w:val="32"/>
          <w:szCs w:val="32"/>
          <w:highlight w:val="none"/>
        </w:rPr>
        <w:t>对其收到的书面的对</w:t>
      </w:r>
      <w:r>
        <w:rPr>
          <w:rFonts w:hint="eastAsia" w:ascii="方正仿宋_GBK" w:hAnsi="方正仿宋_GBK" w:eastAsia="方正仿宋_GBK" w:cs="方正仿宋_GBK"/>
          <w:snapToGrid w:val="0"/>
          <w:sz w:val="32"/>
          <w:szCs w:val="32"/>
          <w:highlight w:val="none"/>
        </w:rPr>
        <w:t>招标</w:t>
      </w:r>
      <w:r>
        <w:rPr>
          <w:rFonts w:ascii="方正仿宋_GBK" w:hAnsi="方正仿宋_GBK" w:eastAsia="方正仿宋_GBK" w:cs="方正仿宋_GBK"/>
          <w:snapToGrid w:val="0"/>
          <w:sz w:val="32"/>
          <w:szCs w:val="32"/>
          <w:highlight w:val="none"/>
        </w:rPr>
        <w:t>文件的澄清要求均以书面形式予以答复，同时将书面形式答复发给每个提交资格预审文件潜在供应商（答复中不包括问题的来源）。供应商在收到上述答复后，应立即向采</w:t>
      </w:r>
      <w:r>
        <w:rPr>
          <w:rFonts w:hint="eastAsia" w:ascii="方正仿宋_GBK" w:hAnsi="方正仿宋_GBK" w:eastAsia="方正仿宋_GBK" w:cs="方正仿宋_GBK"/>
          <w:snapToGrid w:val="0"/>
          <w:sz w:val="32"/>
          <w:szCs w:val="32"/>
          <w:highlight w:val="none"/>
        </w:rPr>
        <w:t>客户服务部</w:t>
      </w:r>
      <w:r>
        <w:rPr>
          <w:rFonts w:ascii="方正仿宋_GBK" w:hAnsi="方正仿宋_GBK" w:eastAsia="方正仿宋_GBK" w:cs="方正仿宋_GBK"/>
          <w:snapToGrid w:val="0"/>
          <w:sz w:val="32"/>
          <w:szCs w:val="32"/>
          <w:highlight w:val="none"/>
        </w:rPr>
        <w:t>回函确认。不足3日的，顺延提交资格预审文件或</w:t>
      </w:r>
      <w:r>
        <w:rPr>
          <w:rFonts w:hint="eastAsia" w:ascii="方正仿宋_GBK" w:hAnsi="方正仿宋_GBK" w:eastAsia="方正仿宋_GBK" w:cs="方正仿宋_GBK"/>
          <w:snapToGrid w:val="0"/>
          <w:sz w:val="32"/>
          <w:szCs w:val="32"/>
          <w:highlight w:val="none"/>
        </w:rPr>
        <w:t>招标</w:t>
      </w:r>
      <w:r>
        <w:rPr>
          <w:rFonts w:ascii="方正仿宋_GBK" w:hAnsi="方正仿宋_GBK" w:eastAsia="方正仿宋_GBK" w:cs="方正仿宋_GBK"/>
          <w:snapToGrid w:val="0"/>
          <w:sz w:val="32"/>
          <w:szCs w:val="32"/>
          <w:highlight w:val="none"/>
        </w:rPr>
        <w:t>文件的截止时间。该答复作为招标文件的一部分，对供应商有约束力。</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3）</w:t>
      </w:r>
      <w:r>
        <w:rPr>
          <w:rFonts w:hint="eastAsia" w:ascii="方正仿宋_GBK" w:hAnsi="方正仿宋_GBK" w:eastAsia="方正仿宋_GBK" w:cs="方正仿宋_GBK"/>
          <w:snapToGrid w:val="0"/>
          <w:sz w:val="32"/>
          <w:szCs w:val="32"/>
          <w:highlight w:val="none"/>
        </w:rPr>
        <w:t>招标</w:t>
      </w:r>
      <w:r>
        <w:rPr>
          <w:rFonts w:ascii="方正仿宋_GBK" w:hAnsi="方正仿宋_GBK" w:eastAsia="方正仿宋_GBK" w:cs="方正仿宋_GBK"/>
          <w:snapToGrid w:val="0"/>
          <w:sz w:val="32"/>
          <w:szCs w:val="32"/>
          <w:highlight w:val="none"/>
        </w:rPr>
        <w:t>文件的修改将在</w:t>
      </w:r>
      <w:r>
        <w:rPr>
          <w:rFonts w:hint="eastAsia" w:ascii="方正仿宋_GBK" w:hAnsi="方正仿宋_GBK" w:eastAsia="方正仿宋_GBK" w:cs="方正仿宋_GBK"/>
          <w:snapToGrid w:val="0"/>
          <w:sz w:val="32"/>
          <w:szCs w:val="32"/>
          <w:highlight w:val="none"/>
        </w:rPr>
        <w:t>招标</w:t>
      </w:r>
      <w:r>
        <w:rPr>
          <w:rFonts w:ascii="方正仿宋_GBK" w:hAnsi="方正仿宋_GBK" w:eastAsia="方正仿宋_GBK" w:cs="方正仿宋_GBK"/>
          <w:snapToGrid w:val="0"/>
          <w:sz w:val="32"/>
          <w:szCs w:val="32"/>
          <w:highlight w:val="none"/>
        </w:rPr>
        <w:t>文件规定的比选截止时间3日之前由</w:t>
      </w:r>
      <w:r>
        <w:rPr>
          <w:rFonts w:hint="eastAsia" w:ascii="方正仿宋_GBK" w:hAnsi="方正仿宋_GBK" w:eastAsia="方正仿宋_GBK" w:cs="方正仿宋_GBK"/>
          <w:snapToGrid w:val="0"/>
          <w:sz w:val="32"/>
          <w:szCs w:val="32"/>
          <w:highlight w:val="none"/>
        </w:rPr>
        <w:t>客户服务部</w:t>
      </w:r>
      <w:r>
        <w:rPr>
          <w:rFonts w:ascii="方正仿宋_GBK" w:hAnsi="方正仿宋_GBK" w:eastAsia="方正仿宋_GBK" w:cs="方正仿宋_GBK"/>
          <w:snapToGrid w:val="0"/>
          <w:sz w:val="32"/>
          <w:szCs w:val="32"/>
          <w:highlight w:val="none"/>
        </w:rPr>
        <w:t>以书面形式通知所有潜在（报名成功的）供应商，并对其具有约束力。供应商在收到上述通知后，应立即向</w:t>
      </w:r>
      <w:r>
        <w:rPr>
          <w:rFonts w:hint="eastAsia" w:ascii="方正仿宋_GBK" w:hAnsi="方正仿宋_GBK" w:eastAsia="方正仿宋_GBK" w:cs="方正仿宋_GBK"/>
          <w:snapToGrid w:val="0"/>
          <w:sz w:val="32"/>
          <w:szCs w:val="32"/>
          <w:highlight w:val="none"/>
        </w:rPr>
        <w:t>客户服务部</w:t>
      </w:r>
      <w:r>
        <w:rPr>
          <w:rFonts w:ascii="方正仿宋_GBK" w:hAnsi="方正仿宋_GBK" w:eastAsia="方正仿宋_GBK" w:cs="方正仿宋_GBK"/>
          <w:snapToGrid w:val="0"/>
          <w:sz w:val="32"/>
          <w:szCs w:val="32"/>
          <w:highlight w:val="none"/>
        </w:rPr>
        <w:t>回函确认。</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4）在</w:t>
      </w:r>
      <w:r>
        <w:rPr>
          <w:rFonts w:hint="eastAsia" w:ascii="方正仿宋_GBK" w:hAnsi="方正仿宋_GBK" w:eastAsia="方正仿宋_GBK" w:cs="方正仿宋_GBK"/>
          <w:snapToGrid w:val="0"/>
          <w:sz w:val="32"/>
          <w:szCs w:val="32"/>
          <w:highlight w:val="none"/>
        </w:rPr>
        <w:t>招标</w:t>
      </w:r>
      <w:r>
        <w:rPr>
          <w:rFonts w:ascii="方正仿宋_GBK" w:hAnsi="方正仿宋_GBK" w:eastAsia="方正仿宋_GBK" w:cs="方正仿宋_GBK"/>
          <w:snapToGrid w:val="0"/>
          <w:sz w:val="32"/>
          <w:szCs w:val="32"/>
          <w:highlight w:val="none"/>
        </w:rPr>
        <w:t>过程中，招标文件内容如有实质性的变更，</w:t>
      </w:r>
      <w:r>
        <w:rPr>
          <w:rFonts w:hint="eastAsia" w:ascii="方正仿宋_GBK" w:hAnsi="方正仿宋_GBK" w:eastAsia="方正仿宋_GBK" w:cs="方正仿宋_GBK"/>
          <w:snapToGrid w:val="0"/>
          <w:sz w:val="32"/>
          <w:szCs w:val="32"/>
          <w:highlight w:val="none"/>
        </w:rPr>
        <w:t>招标</w:t>
      </w:r>
      <w:r>
        <w:rPr>
          <w:rFonts w:ascii="方正仿宋_GBK" w:hAnsi="方正仿宋_GBK" w:eastAsia="方正仿宋_GBK" w:cs="方正仿宋_GBK"/>
          <w:snapToGrid w:val="0"/>
          <w:sz w:val="32"/>
          <w:szCs w:val="32"/>
          <w:highlight w:val="none"/>
        </w:rPr>
        <w:t>小组应以书面形式通知所有参与</w:t>
      </w:r>
      <w:r>
        <w:rPr>
          <w:rFonts w:hint="eastAsia" w:ascii="方正仿宋_GBK" w:hAnsi="方正仿宋_GBK" w:eastAsia="方正仿宋_GBK" w:cs="方正仿宋_GBK"/>
          <w:snapToGrid w:val="0"/>
          <w:sz w:val="32"/>
          <w:szCs w:val="32"/>
          <w:highlight w:val="none"/>
        </w:rPr>
        <w:t>招标</w:t>
      </w:r>
      <w:r>
        <w:rPr>
          <w:rFonts w:ascii="方正仿宋_GBK" w:hAnsi="方正仿宋_GBK" w:eastAsia="方正仿宋_GBK" w:cs="方正仿宋_GBK"/>
          <w:snapToGrid w:val="0"/>
          <w:sz w:val="32"/>
          <w:szCs w:val="32"/>
          <w:highlight w:val="none"/>
        </w:rPr>
        <w:t>的供应商。若供应商对此类实质性变更不予接受，可以要求退出</w:t>
      </w:r>
      <w:r>
        <w:rPr>
          <w:rFonts w:hint="eastAsia" w:ascii="方正仿宋_GBK" w:hAnsi="方正仿宋_GBK" w:eastAsia="方正仿宋_GBK" w:cs="方正仿宋_GBK"/>
          <w:snapToGrid w:val="0"/>
          <w:sz w:val="32"/>
          <w:szCs w:val="32"/>
          <w:highlight w:val="none"/>
        </w:rPr>
        <w:t>招标</w:t>
      </w:r>
      <w:r>
        <w:rPr>
          <w:rFonts w:ascii="方正仿宋_GBK" w:hAnsi="方正仿宋_GBK" w:eastAsia="方正仿宋_GBK" w:cs="方正仿宋_GBK"/>
          <w:snapToGrid w:val="0"/>
          <w:sz w:val="32"/>
          <w:szCs w:val="32"/>
          <w:highlight w:val="none"/>
        </w:rPr>
        <w:t>且不会被计入不良行为，否则将被视为接受此变更并受其约束。</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5）采购人可以视采购具体情况，延长</w:t>
      </w:r>
      <w:r>
        <w:rPr>
          <w:rFonts w:hint="eastAsia" w:ascii="方正仿宋_GBK" w:hAnsi="方正仿宋_GBK" w:eastAsia="方正仿宋_GBK" w:cs="方正仿宋_GBK"/>
          <w:snapToGrid w:val="0"/>
          <w:sz w:val="32"/>
          <w:szCs w:val="32"/>
          <w:highlight w:val="none"/>
        </w:rPr>
        <w:t>招标</w:t>
      </w:r>
      <w:r>
        <w:rPr>
          <w:rFonts w:ascii="方正仿宋_GBK" w:hAnsi="方正仿宋_GBK" w:eastAsia="方正仿宋_GBK" w:cs="方正仿宋_GBK"/>
          <w:snapToGrid w:val="0"/>
          <w:sz w:val="32"/>
          <w:szCs w:val="32"/>
          <w:highlight w:val="none"/>
        </w:rPr>
        <w:t>截止时间，但至少应当在招标文件规定的</w:t>
      </w:r>
      <w:r>
        <w:rPr>
          <w:rFonts w:hint="eastAsia" w:ascii="方正仿宋_GBK" w:hAnsi="方正仿宋_GBK" w:eastAsia="方正仿宋_GBK" w:cs="方正仿宋_GBK"/>
          <w:snapToGrid w:val="0"/>
          <w:sz w:val="32"/>
          <w:szCs w:val="32"/>
          <w:highlight w:val="none"/>
        </w:rPr>
        <w:t>招标</w:t>
      </w:r>
      <w:r>
        <w:rPr>
          <w:rFonts w:ascii="方正仿宋_GBK" w:hAnsi="方正仿宋_GBK" w:eastAsia="方正仿宋_GBK" w:cs="方正仿宋_GBK"/>
          <w:snapToGrid w:val="0"/>
          <w:sz w:val="32"/>
          <w:szCs w:val="32"/>
          <w:highlight w:val="none"/>
        </w:rPr>
        <w:t>截止时间3日前，并将变更时间书面通知所有已获取招标文件的潜在供应商。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4、投标人应在收到招标文件后，仔细阅读，有疑问的应在报名有效工作时间内提出质疑。在规定的时间内未对招标文件要求澄清或提出疑问的，我院将视其为无异议，不再接受对招标文件内容的质疑。</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5、要求响应人报名后应参加投标，报名后不投标的应在投标截止日前一天前致函我院</w:t>
      </w:r>
      <w:r>
        <w:rPr>
          <w:rFonts w:hint="eastAsia" w:ascii="方正仿宋_GBK" w:hAnsi="方正仿宋_GBK" w:eastAsia="方正仿宋_GBK" w:cs="方正仿宋_GBK"/>
          <w:snapToGrid w:val="0"/>
          <w:sz w:val="32"/>
          <w:szCs w:val="32"/>
          <w:highlight w:val="none"/>
        </w:rPr>
        <w:t>客户服务部</w:t>
      </w:r>
      <w:r>
        <w:rPr>
          <w:rFonts w:ascii="方正仿宋_GBK" w:hAnsi="方正仿宋_GBK" w:eastAsia="方正仿宋_GBK" w:cs="方正仿宋_GBK"/>
          <w:snapToGrid w:val="0"/>
          <w:sz w:val="32"/>
          <w:szCs w:val="32"/>
          <w:highlight w:val="none"/>
        </w:rPr>
        <w:t>说明情况。如未致函说明者，将记不良行为一次，一年累计达两次者将被列入黑名单。</w:t>
      </w:r>
    </w:p>
    <w:p>
      <w:pPr>
        <w:autoSpaceDE/>
        <w:autoSpaceDN/>
        <w:spacing w:line="580" w:lineRule="exact"/>
        <w:jc w:val="both"/>
        <w:outlineLvl w:val="1"/>
        <w:rPr>
          <w:rFonts w:ascii="方正楷体_GBK" w:hAnsi="方正楷体_GBK" w:eastAsia="方正楷体_GBK" w:cs="方正楷体_GBK"/>
          <w:snapToGrid w:val="0"/>
          <w:sz w:val="32"/>
          <w:szCs w:val="32"/>
          <w:highlight w:val="none"/>
        </w:rPr>
      </w:pPr>
      <w:r>
        <w:rPr>
          <w:rFonts w:ascii="方正楷体_GBK" w:hAnsi="方正楷体_GBK" w:eastAsia="方正楷体_GBK" w:cs="方正楷体_GBK"/>
          <w:snapToGrid w:val="0"/>
          <w:sz w:val="32"/>
          <w:szCs w:val="32"/>
          <w:highlight w:val="none"/>
        </w:rPr>
        <w:t>三、投标文件的编制和数量</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1</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投标人提交的投标文件（含资格性文件）以及投标人与我院客户服务部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.2</w:t>
      </w:r>
      <w:r>
        <w:rPr>
          <w:rFonts w:hint="eastAsia" w:ascii="方正仿宋_GBK" w:hAnsi="方正仿宋_GBK" w:eastAsia="方正仿宋_GBK" w:cs="方正仿宋_GBK"/>
          <w:snapToGrid w:val="0"/>
          <w:sz w:val="32"/>
          <w:szCs w:val="32"/>
          <w:highlight w:val="none"/>
        </w:rPr>
        <w:t>、除非招标文件中另有规定，供应商在响应文件中及其与采购单位的所有往来文件中的计量单位均应采用中华人民共和国法定计量单位。</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2、投标文件的构成应符合法律法规及招标文件的要求。</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3、</w:t>
      </w:r>
      <w:r>
        <w:rPr>
          <w:rFonts w:hint="eastAsia" w:ascii="方正仿宋_GBK" w:hAnsi="方正仿宋_GBK" w:eastAsia="方正仿宋_GBK" w:cs="方正仿宋_GBK"/>
          <w:snapToGrid w:val="0"/>
          <w:sz w:val="32"/>
          <w:szCs w:val="32"/>
          <w:highlight w:val="none"/>
        </w:rPr>
        <w:t>相应文件编制</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3</w:t>
      </w:r>
      <w:r>
        <w:rPr>
          <w:rFonts w:ascii="方正仿宋_GBK" w:hAnsi="方正仿宋_GBK" w:eastAsia="方正仿宋_GBK" w:cs="方正仿宋_GBK"/>
          <w:snapToGrid w:val="0"/>
          <w:sz w:val="32"/>
          <w:szCs w:val="32"/>
          <w:highlight w:val="none"/>
        </w:rPr>
        <w:t>.1</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3.2</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投标人应完整、真实、准确的填写招标文件中规定的所有内容</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投标人必须对投标文件所提供的全部资料的真实性承担法律责任，并无条件接受我院</w:t>
      </w:r>
      <w:r>
        <w:rPr>
          <w:rFonts w:hint="eastAsia" w:ascii="方正仿宋_GBK" w:hAnsi="方正仿宋_GBK" w:eastAsia="方正仿宋_GBK" w:cs="方正仿宋_GBK"/>
          <w:snapToGrid w:val="0"/>
          <w:sz w:val="32"/>
          <w:szCs w:val="32"/>
          <w:highlight w:val="none"/>
        </w:rPr>
        <w:t>客户服务</w:t>
      </w:r>
      <w:r>
        <w:rPr>
          <w:rFonts w:ascii="方正仿宋_GBK" w:hAnsi="方正仿宋_GBK" w:eastAsia="方正仿宋_GBK" w:cs="方正仿宋_GBK"/>
          <w:snapToGrid w:val="0"/>
          <w:sz w:val="32"/>
          <w:szCs w:val="32"/>
          <w:highlight w:val="none"/>
        </w:rPr>
        <w:t>部和监督管理小组等对其中任何资料进行核实的要求。</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3.3</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 xml:space="preserve">如果因为投标人投标文件填报的内容不详，或没有提供招标文件中所要求的全部资料及数据，由此造成的后果，其责任由投标人承担。 </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4</w:t>
      </w:r>
      <w:r>
        <w:rPr>
          <w:rFonts w:hint="eastAsia" w:ascii="方正仿宋_GBK" w:hAnsi="方正仿宋_GBK" w:eastAsia="方正仿宋_GBK" w:cs="方正仿宋_GBK"/>
          <w:snapToGrid w:val="0"/>
          <w:sz w:val="32"/>
          <w:szCs w:val="32"/>
          <w:highlight w:val="none"/>
        </w:rPr>
        <w:t>、投标报价</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4</w:t>
      </w:r>
      <w:r>
        <w:rPr>
          <w:rFonts w:ascii="方正仿宋_GBK" w:hAnsi="方正仿宋_GBK" w:eastAsia="方正仿宋_GBK" w:cs="方正仿宋_GBK"/>
          <w:snapToGrid w:val="0"/>
          <w:sz w:val="32"/>
          <w:szCs w:val="32"/>
          <w:highlight w:val="none"/>
        </w:rPr>
        <w:t>.1</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投标人所提供的货物和服务均应以人民币报价，若同时以</w:t>
      </w:r>
      <w:r>
        <w:rPr>
          <w:rFonts w:hint="eastAsia" w:ascii="方正仿宋_GBK" w:hAnsi="方正仿宋_GBK" w:eastAsia="方正仿宋_GBK" w:cs="方正仿宋_GBK"/>
          <w:snapToGrid w:val="0"/>
          <w:sz w:val="32"/>
          <w:szCs w:val="32"/>
          <w:highlight w:val="none"/>
        </w:rPr>
        <w:t>人民币</w:t>
      </w:r>
      <w:r>
        <w:rPr>
          <w:rFonts w:ascii="方正仿宋_GBK" w:hAnsi="方正仿宋_GBK" w:eastAsia="方正仿宋_GBK" w:cs="方正仿宋_GBK"/>
          <w:snapToGrid w:val="0"/>
          <w:sz w:val="32"/>
          <w:szCs w:val="32"/>
          <w:highlight w:val="none"/>
        </w:rPr>
        <w:t>及外币报价的，以人民币报价为准。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4.2</w:t>
      </w:r>
      <w:r>
        <w:rPr>
          <w:rFonts w:hint="eastAsia" w:ascii="方正仿宋_GBK" w:hAnsi="方正仿宋_GBK" w:eastAsia="方正仿宋_GBK" w:cs="方正仿宋_GBK"/>
          <w:snapToGrid w:val="0"/>
          <w:sz w:val="32"/>
          <w:szCs w:val="32"/>
          <w:highlight w:val="none"/>
        </w:rPr>
        <w:t>、供应商应按照采购文件“第二部分</w:t>
      </w:r>
      <w:r>
        <w:rPr>
          <w:rFonts w:ascii="方正仿宋_GBK" w:hAnsi="方正仿宋_GBK" w:eastAsia="方正仿宋_GBK" w:cs="方正仿宋_GBK"/>
          <w:snapToGrid w:val="0"/>
          <w:sz w:val="32"/>
          <w:szCs w:val="32"/>
          <w:highlight w:val="none"/>
        </w:rPr>
        <w:t xml:space="preserve"> 采购项目内容”中规定的内容、责任范围以及合同条款进行报价</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投标总价中不得缺漏招标文件所要求的内容，否则，其投标将可能被视为无效投标。</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4.3</w:t>
      </w:r>
      <w:r>
        <w:rPr>
          <w:rFonts w:hint="eastAsia" w:ascii="方正仿宋_GBK" w:hAnsi="方正仿宋_GBK" w:eastAsia="方正仿宋_GBK" w:cs="方正仿宋_GBK"/>
          <w:snapToGrid w:val="0"/>
          <w:sz w:val="32"/>
          <w:szCs w:val="32"/>
          <w:highlight w:val="none"/>
        </w:rPr>
        <w:t>、报价应为供应商完成本项目全部内容所需费用的含税价（包括但不限于人工、保险、伴随服务、拟投入工具及材料、各类税费以及采购合同包含的所有风险、责任等各项应有费用）</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5、</w:t>
      </w:r>
      <w:r>
        <w:rPr>
          <w:rFonts w:ascii="方正仿宋_GBK" w:hAnsi="方正仿宋_GBK" w:eastAsia="方正仿宋_GBK" w:cs="方正仿宋_GBK"/>
          <w:snapToGrid w:val="0"/>
          <w:sz w:val="32"/>
          <w:szCs w:val="32"/>
          <w:highlight w:val="none"/>
        </w:rPr>
        <w:t>只允许供应商有一个响应方案，否则将被视为无效响应。（</w:t>
      </w:r>
      <w:r>
        <w:rPr>
          <w:rFonts w:hint="eastAsia" w:ascii="方正仿宋_GBK" w:hAnsi="方正仿宋_GBK" w:eastAsia="方正仿宋_GBK" w:cs="方正仿宋_GBK"/>
          <w:snapToGrid w:val="0"/>
          <w:sz w:val="32"/>
          <w:szCs w:val="32"/>
          <w:highlight w:val="none"/>
        </w:rPr>
        <w:t>投标</w:t>
      </w:r>
      <w:r>
        <w:rPr>
          <w:rFonts w:ascii="方正仿宋_GBK" w:hAnsi="方正仿宋_GBK" w:eastAsia="方正仿宋_GBK" w:cs="方正仿宋_GBK"/>
          <w:snapToGrid w:val="0"/>
          <w:sz w:val="32"/>
          <w:szCs w:val="32"/>
          <w:highlight w:val="none"/>
        </w:rPr>
        <w:t>文件允许有备选方案的除外）</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6</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本项目不接受联合体比选。</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7</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供应商资格证明文件</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7.1</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供应商应按</w:t>
      </w:r>
      <w:r>
        <w:rPr>
          <w:rFonts w:hint="eastAsia" w:ascii="方正仿宋_GBK" w:hAnsi="方正仿宋_GBK" w:eastAsia="方正仿宋_GBK" w:cs="方正仿宋_GBK"/>
          <w:snapToGrid w:val="0"/>
          <w:sz w:val="32"/>
          <w:szCs w:val="32"/>
          <w:highlight w:val="none"/>
        </w:rPr>
        <w:t>投标</w:t>
      </w:r>
      <w:r>
        <w:rPr>
          <w:rFonts w:ascii="方正仿宋_GBK" w:hAnsi="方正仿宋_GBK" w:eastAsia="方正仿宋_GBK" w:cs="方正仿宋_GBK"/>
          <w:snapToGrid w:val="0"/>
          <w:sz w:val="32"/>
          <w:szCs w:val="32"/>
          <w:highlight w:val="none"/>
        </w:rPr>
        <w:t>文件的要求，提交证明其有资格参加比选和成交后有履行合同能力的文件，并作为其响应文件的组成部分，包括但不限于《资格性及符合性审查表》中所列要求。</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7.2</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资格证明文件必须真实有效，复印件必须加盖单位印章。</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8、投标人应编制投标文件一式六份，其中正本一份和副本五份，投标文件的副本可采用正本的复印件。每套投标文件须清楚地标明“正本”、 “副本”。如有疑问或正副本内容不一致的，一切以正本内容为准！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 xml:space="preserve"> 9.</w:t>
      </w:r>
      <w:r>
        <w:rPr>
          <w:rFonts w:hint="eastAsia" w:ascii="方正仿宋_GBK" w:hAnsi="方正仿宋_GBK" w:eastAsia="方正仿宋_GBK" w:cs="方正仿宋_GBK"/>
          <w:snapToGrid w:val="0"/>
          <w:sz w:val="32"/>
          <w:szCs w:val="32"/>
          <w:highlight w:val="none"/>
        </w:rPr>
        <w:t>投标</w:t>
      </w:r>
      <w:r>
        <w:rPr>
          <w:rFonts w:ascii="方正仿宋_GBK" w:hAnsi="方正仿宋_GBK" w:eastAsia="方正仿宋_GBK" w:cs="方正仿宋_GBK"/>
          <w:snapToGrid w:val="0"/>
          <w:sz w:val="32"/>
          <w:szCs w:val="32"/>
          <w:highlight w:val="none"/>
        </w:rPr>
        <w:t>文件由法定代表人或经其正式授权的代表签字。</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10.</w:t>
      </w:r>
      <w:r>
        <w:rPr>
          <w:rFonts w:hint="eastAsia" w:ascii="方正仿宋_GBK" w:hAnsi="方正仿宋_GBK" w:eastAsia="方正仿宋_GBK" w:cs="方正仿宋_GBK"/>
          <w:snapToGrid w:val="0"/>
          <w:sz w:val="32"/>
          <w:szCs w:val="32"/>
          <w:highlight w:val="none"/>
        </w:rPr>
        <w:t>投标</w:t>
      </w:r>
      <w:r>
        <w:rPr>
          <w:rFonts w:ascii="方正仿宋_GBK" w:hAnsi="方正仿宋_GBK" w:eastAsia="方正仿宋_GBK" w:cs="方正仿宋_GBK"/>
          <w:snapToGrid w:val="0"/>
          <w:sz w:val="32"/>
          <w:szCs w:val="32"/>
          <w:highlight w:val="none"/>
        </w:rPr>
        <w:t>文件中的任何重要的插字、涂改和增删，必须由法定代表人或经其正式授权的代表在旁边加盖公章或签字才有效。</w:t>
      </w:r>
    </w:p>
    <w:p>
      <w:pPr>
        <w:autoSpaceDE/>
        <w:autoSpaceDN/>
        <w:spacing w:line="580" w:lineRule="exact"/>
        <w:jc w:val="both"/>
        <w:outlineLvl w:val="1"/>
        <w:rPr>
          <w:rFonts w:ascii="方正楷体_GBK" w:hAnsi="方正楷体_GBK" w:eastAsia="方正楷体_GBK" w:cs="方正楷体_GBK"/>
          <w:snapToGrid w:val="0"/>
          <w:sz w:val="32"/>
          <w:szCs w:val="32"/>
          <w:highlight w:val="none"/>
        </w:rPr>
      </w:pPr>
      <w:r>
        <w:rPr>
          <w:rFonts w:ascii="方正楷体_GBK" w:hAnsi="方正楷体_GBK" w:eastAsia="方正楷体_GBK" w:cs="方正楷体_GBK"/>
          <w:snapToGrid w:val="0"/>
          <w:sz w:val="32"/>
          <w:szCs w:val="32"/>
          <w:highlight w:val="none"/>
        </w:rPr>
        <w:t>四、投标文件的递交</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投标的信封袋或者文件袋应注明采购项目名称、文件编号、包号及投标文件和“在（招标文件中规定的开标日期和时点）前不得拆封”字样，封口，加盖公章。未按要求密封和标记的，我院对误投或提前启封概不负责。</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w:t>
      </w:r>
      <w:r>
        <w:rPr>
          <w:rFonts w:hint="eastAsia" w:ascii="方正仿宋_GBK" w:hAnsi="方正仿宋_GBK" w:eastAsia="方正仿宋_GBK" w:cs="方正仿宋_GBK"/>
          <w:snapToGrid w:val="0"/>
          <w:sz w:val="32"/>
          <w:szCs w:val="32"/>
          <w:highlight w:val="none"/>
        </w:rPr>
        <w:t>、采购单位在规定的地点和响应截止时间之前接收响应文件，超过截止时间后的响应为无效响应，采购单位将拒绝接收。</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投标人在投标截止时间前，可以对所提交的投标文件进行补充、修改或撤回，但必须书面告知；在投标截止时间后，投标人不得对其投标文件做任何修改和补充，也不得撤回。超过截止时点后的投标视为无效投标，不予接收。</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3、投标人所提交的投标文件及附属非原件资料在评标结束后，无论中标与否都不予退还。</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五、开标、评标和定标</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（一）开标</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客户服务部在本招标书规定的日期、时间和地点组织开标。参加开标的代表应签到以证明其出席,并出示有效身份证件以供查验，原则上要求法人或被授权人亲自前来投标。确因不可抗拒之原因，委托他人前来投标的，应出具授权委托书（含被授权人身份证复印件）并加盖公章，授权委托书必须双方签名，未签名无效。如缺少上述资料，按投标无效处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各投标人验视文件的密封性完好无异议后，由纪委工作人员在监督人员现场宣读各投标人货物名称、投标价格等实质内容，各投标人签名确认，一旦签名确认各投标人不得再对开标现场提出异议，否则按恶意竞争及恶意诋毁论处，将被取消资格。</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（二）评审小组的组成</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评审小组按医院的规定从评审专家库中随机抽取的五名专家组成。评审小组在医院招标监督小组代表的监督下本着公平、公正、科学、择优的原则，严格按照医院的院内招投标实施细则和招标文件的要求进行评审及推荐中标人。</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（三）定 标</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1、评审小组认为招标文件的内容存在违反国家有关强制性规定的，应当停止评审并向采购办说明情况。</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2、评审小组按照招标文件确定的评标方法、步骤、标准，对投标文件进行评审，提交书面评标报告，按照得分由高到低的优选顺序对投标供应商进行排名。</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3、评审小组按照评审标准在评标报告中确定排名第一的投标人为中标供应商，并在评标报告上签字，对自己的评审意见承担法律责任。</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如出现得分一致的多名第一候选中标人时，由评审小组依据设备性能优越（即技术参数/方案响应最佳）的原则优选中标人。</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4、中标供应商确定、公示无异议后，我院客户服务部发出中标通知书。中标供应商无正当理由不履行政府采购合同或放弃中标的，我院可以确定排名第二的投标人为中标供应商或者重新招标。中标供应商无故放弃中标的，应当依法承担法律责任。</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5、凡发现中标供应商有下列行为之一的，将移交涉监管部门依法处理。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提供虚假材料谋取中标；</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（2）</w:t>
      </w:r>
      <w:r>
        <w:rPr>
          <w:rFonts w:ascii="方正仿宋_GBK" w:hAnsi="方正仿宋_GBK" w:eastAsia="方正仿宋_GBK" w:cs="方正仿宋_GBK"/>
          <w:snapToGrid w:val="0"/>
          <w:sz w:val="32"/>
          <w:szCs w:val="32"/>
          <w:highlight w:val="none"/>
        </w:rPr>
        <w:t>采取不正当手段诋毁、排挤其他供应商；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（3）</w:t>
      </w:r>
      <w:r>
        <w:rPr>
          <w:rFonts w:ascii="方正仿宋_GBK" w:hAnsi="方正仿宋_GBK" w:eastAsia="方正仿宋_GBK" w:cs="方正仿宋_GBK"/>
          <w:snapToGrid w:val="0"/>
          <w:sz w:val="32"/>
          <w:szCs w:val="32"/>
          <w:highlight w:val="none"/>
        </w:rPr>
        <w:t>与采购人、其他供应商或者招标工作人员恶意串通；</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（4）</w:t>
      </w:r>
      <w:r>
        <w:rPr>
          <w:rFonts w:ascii="方正仿宋_GBK" w:hAnsi="方正仿宋_GBK" w:eastAsia="方正仿宋_GBK" w:cs="方正仿宋_GBK"/>
          <w:snapToGrid w:val="0"/>
          <w:sz w:val="32"/>
          <w:szCs w:val="32"/>
          <w:highlight w:val="none"/>
        </w:rPr>
        <w:t>向采购人、招标工作人员行贿或者提供其他不正当利益；</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（5）</w:t>
      </w:r>
      <w:r>
        <w:rPr>
          <w:rFonts w:ascii="方正仿宋_GBK" w:hAnsi="方正仿宋_GBK" w:eastAsia="方正仿宋_GBK" w:cs="方正仿宋_GBK"/>
          <w:snapToGrid w:val="0"/>
          <w:sz w:val="32"/>
          <w:szCs w:val="32"/>
          <w:highlight w:val="none"/>
        </w:rPr>
        <w:t>拒绝有关部门监督检查或者提供虚假情况；</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（6）</w:t>
      </w:r>
      <w:r>
        <w:rPr>
          <w:rFonts w:ascii="方正仿宋_GBK" w:hAnsi="方正仿宋_GBK" w:eastAsia="方正仿宋_GBK" w:cs="方正仿宋_GBK"/>
          <w:snapToGrid w:val="0"/>
          <w:sz w:val="32"/>
          <w:szCs w:val="32"/>
          <w:highlight w:val="none"/>
        </w:rPr>
        <w:t>向评审小组成员行贿或者提供其他不正当利益；</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（7）</w:t>
      </w:r>
      <w:r>
        <w:rPr>
          <w:rFonts w:ascii="方正仿宋_GBK" w:hAnsi="方正仿宋_GBK" w:eastAsia="方正仿宋_GBK" w:cs="方正仿宋_GBK"/>
          <w:snapToGrid w:val="0"/>
          <w:sz w:val="32"/>
          <w:szCs w:val="32"/>
          <w:highlight w:val="none"/>
        </w:rPr>
        <w:t>中标或者成交后无正当理由拒不与采购人签订采购合同；</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（8）</w:t>
      </w:r>
      <w:r>
        <w:rPr>
          <w:rFonts w:ascii="方正仿宋_GBK" w:hAnsi="方正仿宋_GBK" w:eastAsia="方正仿宋_GBK" w:cs="方正仿宋_GBK"/>
          <w:snapToGrid w:val="0"/>
          <w:sz w:val="32"/>
          <w:szCs w:val="32"/>
          <w:highlight w:val="none"/>
        </w:rPr>
        <w:t>未按照采购文件确定的事项签订采购合同；</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（9）</w:t>
      </w:r>
      <w:r>
        <w:rPr>
          <w:rFonts w:ascii="方正仿宋_GBK" w:hAnsi="方正仿宋_GBK" w:eastAsia="方正仿宋_GBK" w:cs="方正仿宋_GBK"/>
          <w:snapToGrid w:val="0"/>
          <w:sz w:val="32"/>
          <w:szCs w:val="32"/>
          <w:highlight w:val="none"/>
        </w:rPr>
        <w:t>将采购合同转包；</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0</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提供假冒伪劣产品；</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1</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擅自变更、中止或者终止采购合同；</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2</w:t>
      </w: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有法律、法规规定的其他损害招标采购机构利益和社会公共利益情形的。</w:t>
      </w:r>
    </w:p>
    <w:p>
      <w:pPr>
        <w:autoSpaceDE/>
        <w:autoSpaceDN/>
        <w:spacing w:line="580" w:lineRule="exact"/>
        <w:jc w:val="both"/>
        <w:outlineLvl w:val="1"/>
        <w:rPr>
          <w:rFonts w:ascii="方正楷体_GBK" w:hAnsi="方正楷体_GBK" w:eastAsia="方正楷体_GBK" w:cs="方正楷体_GBK"/>
          <w:snapToGrid w:val="0"/>
          <w:sz w:val="32"/>
          <w:szCs w:val="32"/>
          <w:highlight w:val="none"/>
        </w:rPr>
      </w:pPr>
      <w:r>
        <w:rPr>
          <w:rFonts w:ascii="方正楷体_GBK" w:hAnsi="方正楷体_GBK" w:eastAsia="方正楷体_GBK" w:cs="方正楷体_GBK"/>
          <w:snapToGrid w:val="0"/>
          <w:sz w:val="32"/>
          <w:szCs w:val="32"/>
          <w:highlight w:val="none"/>
        </w:rPr>
        <w:t>六、废标条件与处理</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在公开招标采购中，出现下列情形之一的，应予废标：</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w:t>
      </w:r>
      <w:r>
        <w:rPr>
          <w:rFonts w:hint="eastAsia" w:ascii="方正仿宋_GBK" w:hAnsi="方正仿宋_GBK" w:eastAsia="方正仿宋_GBK" w:cs="方正仿宋_GBK"/>
          <w:snapToGrid w:val="0"/>
          <w:sz w:val="32"/>
          <w:szCs w:val="32"/>
          <w:highlight w:val="none"/>
        </w:rPr>
        <w:t>1</w:t>
      </w:r>
      <w:r>
        <w:rPr>
          <w:rFonts w:ascii="方正仿宋_GBK" w:hAnsi="方正仿宋_GBK" w:eastAsia="方正仿宋_GBK" w:cs="方正仿宋_GBK"/>
          <w:snapToGrid w:val="0"/>
          <w:sz w:val="32"/>
          <w:szCs w:val="32"/>
          <w:highlight w:val="none"/>
        </w:rPr>
        <w:t>）符合专业条件的供应商或者对招标文件作实质响应的供应商不足三家的；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w:t>
      </w:r>
      <w:r>
        <w:rPr>
          <w:rFonts w:hint="eastAsia" w:ascii="方正仿宋_GBK" w:hAnsi="方正仿宋_GBK" w:eastAsia="方正仿宋_GBK" w:cs="方正仿宋_GBK"/>
          <w:snapToGrid w:val="0"/>
          <w:sz w:val="32"/>
          <w:szCs w:val="32"/>
          <w:highlight w:val="none"/>
        </w:rPr>
        <w:t>2</w:t>
      </w:r>
      <w:r>
        <w:rPr>
          <w:rFonts w:ascii="方正仿宋_GBK" w:hAnsi="方正仿宋_GBK" w:eastAsia="方正仿宋_GBK" w:cs="方正仿宋_GBK"/>
          <w:snapToGrid w:val="0"/>
          <w:sz w:val="32"/>
          <w:szCs w:val="32"/>
          <w:highlight w:val="none"/>
        </w:rPr>
        <w:t>）出现影响采购公正的违法、违规行为的；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w:t>
      </w:r>
      <w:r>
        <w:rPr>
          <w:rFonts w:hint="eastAsia" w:ascii="方正仿宋_GBK" w:hAnsi="方正仿宋_GBK" w:eastAsia="方正仿宋_GBK" w:cs="方正仿宋_GBK"/>
          <w:snapToGrid w:val="0"/>
          <w:sz w:val="32"/>
          <w:szCs w:val="32"/>
          <w:highlight w:val="none"/>
        </w:rPr>
        <w:t>3</w:t>
      </w:r>
      <w:r>
        <w:rPr>
          <w:rFonts w:ascii="方正仿宋_GBK" w:hAnsi="方正仿宋_GBK" w:eastAsia="方正仿宋_GBK" w:cs="方正仿宋_GBK"/>
          <w:snapToGrid w:val="0"/>
          <w:sz w:val="32"/>
          <w:szCs w:val="32"/>
          <w:highlight w:val="none"/>
        </w:rPr>
        <w:t>）投标人的报价均超过了采购预算；</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w:t>
      </w:r>
      <w:r>
        <w:rPr>
          <w:rFonts w:hint="eastAsia" w:ascii="方正仿宋_GBK" w:hAnsi="方正仿宋_GBK" w:eastAsia="方正仿宋_GBK" w:cs="方正仿宋_GBK"/>
          <w:snapToGrid w:val="0"/>
          <w:sz w:val="32"/>
          <w:szCs w:val="32"/>
          <w:highlight w:val="none"/>
        </w:rPr>
        <w:t>4</w:t>
      </w:r>
      <w:r>
        <w:rPr>
          <w:rFonts w:ascii="方正仿宋_GBK" w:hAnsi="方正仿宋_GBK" w:eastAsia="方正仿宋_GBK" w:cs="方正仿宋_GBK"/>
          <w:snapToGrid w:val="0"/>
          <w:sz w:val="32"/>
          <w:szCs w:val="32"/>
          <w:highlight w:val="none"/>
        </w:rPr>
        <w:t>）因重大变故，采购任务取消的；</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w:t>
      </w:r>
      <w:r>
        <w:rPr>
          <w:rFonts w:hint="eastAsia" w:ascii="方正仿宋_GBK" w:hAnsi="方正仿宋_GBK" w:eastAsia="方正仿宋_GBK" w:cs="方正仿宋_GBK"/>
          <w:snapToGrid w:val="0"/>
          <w:sz w:val="32"/>
          <w:szCs w:val="32"/>
          <w:highlight w:val="none"/>
        </w:rPr>
        <w:t>5</w:t>
      </w:r>
      <w:r>
        <w:rPr>
          <w:rFonts w:ascii="方正仿宋_GBK" w:hAnsi="方正仿宋_GBK" w:eastAsia="方正仿宋_GBK" w:cs="方正仿宋_GBK"/>
          <w:snapToGrid w:val="0"/>
          <w:sz w:val="32"/>
          <w:szCs w:val="32"/>
          <w:highlight w:val="none"/>
        </w:rPr>
        <w:t>）投标文件未经投标单位盖章和单位负责人签字。废标后，除采购任务取消情形外，应当重新组织招标。</w:t>
      </w:r>
    </w:p>
    <w:p>
      <w:pPr>
        <w:autoSpaceDE/>
        <w:autoSpaceDN/>
        <w:spacing w:line="580" w:lineRule="exact"/>
        <w:jc w:val="both"/>
        <w:outlineLvl w:val="1"/>
        <w:rPr>
          <w:rFonts w:ascii="方正楷体_GBK" w:hAnsi="方正楷体_GBK" w:eastAsia="方正楷体_GBK" w:cs="方正楷体_GBK"/>
          <w:snapToGrid w:val="0"/>
          <w:sz w:val="32"/>
          <w:szCs w:val="32"/>
          <w:highlight w:val="none"/>
        </w:rPr>
      </w:pPr>
      <w:r>
        <w:rPr>
          <w:rFonts w:ascii="方正楷体_GBK" w:hAnsi="方正楷体_GBK" w:eastAsia="方正楷体_GBK" w:cs="方正楷体_GBK"/>
          <w:snapToGrid w:val="0"/>
          <w:sz w:val="32"/>
          <w:szCs w:val="32"/>
          <w:highlight w:val="none"/>
        </w:rPr>
        <w:t>七、公 示</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1、评标完成确定中标人后，在我院官网发布中标公告。</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2、中标公告时间截止未收到投诉或者异议,客户服务部发放中标通知书。</w:t>
      </w:r>
    </w:p>
    <w:p>
      <w:pPr>
        <w:autoSpaceDE/>
        <w:autoSpaceDN/>
        <w:spacing w:line="580" w:lineRule="exact"/>
        <w:jc w:val="both"/>
        <w:outlineLvl w:val="1"/>
        <w:rPr>
          <w:rFonts w:ascii="方正楷体_GBK" w:hAnsi="方正楷体_GBK" w:eastAsia="方正楷体_GBK" w:cs="方正楷体_GBK"/>
          <w:snapToGrid w:val="0"/>
          <w:sz w:val="32"/>
          <w:szCs w:val="32"/>
          <w:highlight w:val="none"/>
        </w:rPr>
      </w:pPr>
      <w:r>
        <w:rPr>
          <w:rFonts w:ascii="方正楷体_GBK" w:hAnsi="方正楷体_GBK" w:eastAsia="方正楷体_GBK" w:cs="方正楷体_GBK"/>
          <w:snapToGrid w:val="0"/>
          <w:sz w:val="32"/>
          <w:szCs w:val="32"/>
          <w:highlight w:val="none"/>
        </w:rPr>
        <w:t>八、质 疑</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1、供应商提出的询问或者质疑，由我院客户服务部受理，并进行答疑等相关工作。</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对招标文件的质疑必须在报名有效工作时间内提交，对中标/成交结果的质疑应在中标/成交公告发出后的五个工作日内提交，以上均须以书面方式由法定代表人或单位负责人签名盖公章后提交，不接受邮寄、电报、电话、传真方式的质疑。质疑必须合理，实名，盖章，任何公司不得诬告。</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3、质疑人捏造事实、提供虚假材料或者以非法手段取得证明材料进行质疑及无合理根据多次质疑的，都予以驳回，一并列入黑名单。</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4、采购办受理质疑后，质疑人书面申请撤回质疑的，应当终止质疑处理程序。</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5、不能对同一事项重复质疑。</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6、未按规定报名的或未在规定截止时间完成投标的，不得质疑，采购管理办公室不受理其任何质疑。</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p>
    <w:p>
      <w:pPr>
        <w:autoSpaceDE/>
        <w:autoSpaceDN/>
        <w:spacing w:line="580" w:lineRule="exact"/>
        <w:jc w:val="both"/>
        <w:outlineLvl w:val="1"/>
        <w:rPr>
          <w:rFonts w:ascii="方正楷体_GBK" w:hAnsi="方正楷体_GBK" w:eastAsia="方正楷体_GBK" w:cs="方正楷体_GBK"/>
          <w:snapToGrid w:val="0"/>
          <w:sz w:val="32"/>
          <w:szCs w:val="32"/>
          <w:highlight w:val="none"/>
        </w:rPr>
      </w:pPr>
      <w:r>
        <w:rPr>
          <w:rFonts w:hint="eastAsia" w:ascii="方正楷体_GBK" w:hAnsi="方正楷体_GBK" w:eastAsia="方正楷体_GBK" w:cs="方正楷体_GBK"/>
          <w:snapToGrid w:val="0"/>
          <w:sz w:val="32"/>
          <w:szCs w:val="32"/>
          <w:highlight w:val="none"/>
        </w:rPr>
        <w:t>九、合同的订立</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1、合同的订立</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采购人与成交供应商自成交通知书发出之日起三十日内，按招标文件要求和成交人响应文件承诺签订采购合同。未按规定时间签订合同的，视为主动放弃成交资格。但不得超出招标文件和成交供应商响应文件的范围、也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ascii="方正仿宋_GBK" w:hAnsi="方正仿宋_GBK" w:eastAsia="方正仿宋_GBK" w:cs="方正仿宋_GBK"/>
          <w:snapToGrid w:val="0"/>
          <w:sz w:val="32"/>
          <w:szCs w:val="32"/>
          <w:highlight w:val="none"/>
        </w:rPr>
        <w:t>2、合同的履行</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1）采购合同订立后，合同各方不得擅自变更、中止或者终止合同。合同确需要变更的，应以书面形式</w:t>
      </w:r>
      <w:r>
        <w:rPr>
          <w:rFonts w:hint="eastAsia" w:ascii="方正仿宋_GBK" w:hAnsi="方正仿宋_GBK" w:eastAsia="方正仿宋_GBK" w:cs="方正仿宋_GBK"/>
          <w:snapToGrid w:val="0"/>
          <w:sz w:val="32"/>
          <w:szCs w:val="32"/>
          <w:highlight w:val="none"/>
        </w:rPr>
        <w:t>客户服务部</w:t>
      </w:r>
      <w:r>
        <w:rPr>
          <w:rFonts w:ascii="方正仿宋_GBK" w:hAnsi="方正仿宋_GBK" w:eastAsia="方正仿宋_GBK" w:cs="方正仿宋_GBK"/>
          <w:snapToGrid w:val="0"/>
          <w:sz w:val="32"/>
          <w:szCs w:val="32"/>
          <w:highlight w:val="none"/>
        </w:rPr>
        <w:t>审批。</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十、适用法律及规定</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1）采购单位及供应商的一切采购活动均参考《中华人民共和国政府采购法》及医院的采购制度。</w:t>
      </w:r>
    </w:p>
    <w:p>
      <w:pPr>
        <w:autoSpaceDE/>
        <w:autoSpaceDN/>
        <w:spacing w:line="580" w:lineRule="exact"/>
        <w:ind w:firstLine="640" w:firstLineChars="200"/>
        <w:jc w:val="both"/>
        <w:rPr>
          <w:rFonts w:ascii="方正仿宋_GBK" w:hAnsi="方正仿宋_GBK" w:eastAsia="方正仿宋_GBK" w:cs="方正仿宋_GBK"/>
          <w:snapToGrid w:val="0"/>
          <w:sz w:val="32"/>
          <w:szCs w:val="32"/>
          <w:highlight w:val="none"/>
        </w:rPr>
      </w:pPr>
      <w:r>
        <w:rPr>
          <w:rFonts w:hint="eastAsia" w:ascii="方正仿宋_GBK" w:hAnsi="方正仿宋_GBK" w:eastAsia="方正仿宋_GBK" w:cs="方正仿宋_GBK"/>
          <w:snapToGrid w:val="0"/>
          <w:sz w:val="32"/>
          <w:szCs w:val="32"/>
          <w:highlight w:val="none"/>
        </w:rPr>
        <w:t>（</w:t>
      </w:r>
      <w:r>
        <w:rPr>
          <w:rFonts w:ascii="方正仿宋_GBK" w:hAnsi="方正仿宋_GBK" w:eastAsia="方正仿宋_GBK" w:cs="方正仿宋_GBK"/>
          <w:snapToGrid w:val="0"/>
          <w:sz w:val="32"/>
          <w:szCs w:val="32"/>
          <w:highlight w:val="none"/>
        </w:rPr>
        <w:t>2）单位负责人为同一人或者存在直接控股、管理关系的不同供应商，不得参加同一合同项下的采购活动。为采购项目提供整体设计、规范编制或者项目管理、监理、检测等服务的供应商，不得再参加该采购项目的其他采购活动。存在以上情形的供应商应主动予以回避，否则自行承担相应的法律责任及后果。</w:t>
      </w:r>
    </w:p>
    <w:sectPr>
      <w:pgSz w:w="11910" w:h="16840"/>
      <w:pgMar w:top="1559" w:right="995" w:bottom="278" w:left="15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w:panose1 w:val="02010601000101010101"/>
    <w:charset w:val="88"/>
    <w:family w:val="roman"/>
    <w:pitch w:val="default"/>
    <w:sig w:usb0="00000000" w:usb1="00000000"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0695579"/>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jMmNjNmI0MWVkOTg1NWVhMjkzNDYzMzEyM2FlYjMifQ=="/>
  </w:docVars>
  <w:rsids>
    <w:rsidRoot w:val="00BA5A74"/>
    <w:rsid w:val="000175D1"/>
    <w:rsid w:val="000368C0"/>
    <w:rsid w:val="00050149"/>
    <w:rsid w:val="0005651E"/>
    <w:rsid w:val="0005706C"/>
    <w:rsid w:val="00092F80"/>
    <w:rsid w:val="000C52D4"/>
    <w:rsid w:val="000F5938"/>
    <w:rsid w:val="00104D03"/>
    <w:rsid w:val="00113609"/>
    <w:rsid w:val="00124EC1"/>
    <w:rsid w:val="001328A8"/>
    <w:rsid w:val="0015618A"/>
    <w:rsid w:val="00160B87"/>
    <w:rsid w:val="001912BC"/>
    <w:rsid w:val="001B43F1"/>
    <w:rsid w:val="001C0C6D"/>
    <w:rsid w:val="001D1E4C"/>
    <w:rsid w:val="001E35F8"/>
    <w:rsid w:val="002149D1"/>
    <w:rsid w:val="00237E4C"/>
    <w:rsid w:val="00251B34"/>
    <w:rsid w:val="00282E14"/>
    <w:rsid w:val="002E1530"/>
    <w:rsid w:val="00305C84"/>
    <w:rsid w:val="00316DAA"/>
    <w:rsid w:val="00320C6B"/>
    <w:rsid w:val="003241D6"/>
    <w:rsid w:val="003433E3"/>
    <w:rsid w:val="003435FB"/>
    <w:rsid w:val="00363F5F"/>
    <w:rsid w:val="00370DB2"/>
    <w:rsid w:val="00371193"/>
    <w:rsid w:val="0039501B"/>
    <w:rsid w:val="003972B3"/>
    <w:rsid w:val="003B3497"/>
    <w:rsid w:val="003B64BC"/>
    <w:rsid w:val="003D1BE2"/>
    <w:rsid w:val="003D5CE5"/>
    <w:rsid w:val="00415078"/>
    <w:rsid w:val="004168F2"/>
    <w:rsid w:val="0042580B"/>
    <w:rsid w:val="00446645"/>
    <w:rsid w:val="0047156D"/>
    <w:rsid w:val="00471A41"/>
    <w:rsid w:val="00476311"/>
    <w:rsid w:val="004A7E4A"/>
    <w:rsid w:val="004B2318"/>
    <w:rsid w:val="004C417F"/>
    <w:rsid w:val="004D0D8C"/>
    <w:rsid w:val="004D5CFE"/>
    <w:rsid w:val="005235A2"/>
    <w:rsid w:val="00526855"/>
    <w:rsid w:val="005400EC"/>
    <w:rsid w:val="0055580C"/>
    <w:rsid w:val="005560BE"/>
    <w:rsid w:val="005905A1"/>
    <w:rsid w:val="00590C1A"/>
    <w:rsid w:val="005B0F07"/>
    <w:rsid w:val="005E6509"/>
    <w:rsid w:val="005F6851"/>
    <w:rsid w:val="00601AB4"/>
    <w:rsid w:val="00611D07"/>
    <w:rsid w:val="00614348"/>
    <w:rsid w:val="00623903"/>
    <w:rsid w:val="0063425D"/>
    <w:rsid w:val="00644C9C"/>
    <w:rsid w:val="00644DDC"/>
    <w:rsid w:val="00651C14"/>
    <w:rsid w:val="00653C95"/>
    <w:rsid w:val="00663DAF"/>
    <w:rsid w:val="00673141"/>
    <w:rsid w:val="00674C9F"/>
    <w:rsid w:val="006A06E2"/>
    <w:rsid w:val="006C1A34"/>
    <w:rsid w:val="006C6918"/>
    <w:rsid w:val="0072139E"/>
    <w:rsid w:val="0075162A"/>
    <w:rsid w:val="00755C59"/>
    <w:rsid w:val="00757E80"/>
    <w:rsid w:val="00760CA0"/>
    <w:rsid w:val="00762B7E"/>
    <w:rsid w:val="0077737A"/>
    <w:rsid w:val="007879A2"/>
    <w:rsid w:val="0079477E"/>
    <w:rsid w:val="007B2005"/>
    <w:rsid w:val="007B6241"/>
    <w:rsid w:val="007B7F3C"/>
    <w:rsid w:val="007C4CB4"/>
    <w:rsid w:val="007C60C7"/>
    <w:rsid w:val="007E3F39"/>
    <w:rsid w:val="007F6AD4"/>
    <w:rsid w:val="008322F3"/>
    <w:rsid w:val="00832B06"/>
    <w:rsid w:val="00852775"/>
    <w:rsid w:val="00867B28"/>
    <w:rsid w:val="0088593C"/>
    <w:rsid w:val="00897F3F"/>
    <w:rsid w:val="008B5BE6"/>
    <w:rsid w:val="008C3C85"/>
    <w:rsid w:val="008E4F9E"/>
    <w:rsid w:val="008F034E"/>
    <w:rsid w:val="0090190C"/>
    <w:rsid w:val="00917F5C"/>
    <w:rsid w:val="00944DD7"/>
    <w:rsid w:val="00957F42"/>
    <w:rsid w:val="0098177A"/>
    <w:rsid w:val="00982C93"/>
    <w:rsid w:val="009925BF"/>
    <w:rsid w:val="009A33B7"/>
    <w:rsid w:val="009C4D52"/>
    <w:rsid w:val="009C7D6B"/>
    <w:rsid w:val="009D3CCF"/>
    <w:rsid w:val="009F4575"/>
    <w:rsid w:val="00A019EC"/>
    <w:rsid w:val="00A032EF"/>
    <w:rsid w:val="00A6244D"/>
    <w:rsid w:val="00A65447"/>
    <w:rsid w:val="00A83DBB"/>
    <w:rsid w:val="00A852E8"/>
    <w:rsid w:val="00AA2B0B"/>
    <w:rsid w:val="00AB4978"/>
    <w:rsid w:val="00AD3CF3"/>
    <w:rsid w:val="00AD457C"/>
    <w:rsid w:val="00AE1113"/>
    <w:rsid w:val="00AE2E91"/>
    <w:rsid w:val="00B07373"/>
    <w:rsid w:val="00B17F0A"/>
    <w:rsid w:val="00B20087"/>
    <w:rsid w:val="00B367E7"/>
    <w:rsid w:val="00B46609"/>
    <w:rsid w:val="00B57FC6"/>
    <w:rsid w:val="00B825FD"/>
    <w:rsid w:val="00B84049"/>
    <w:rsid w:val="00B84DAA"/>
    <w:rsid w:val="00B96DAC"/>
    <w:rsid w:val="00BA5A74"/>
    <w:rsid w:val="00BA5FA4"/>
    <w:rsid w:val="00BE1301"/>
    <w:rsid w:val="00BE6C1B"/>
    <w:rsid w:val="00BF0B6E"/>
    <w:rsid w:val="00C07012"/>
    <w:rsid w:val="00C2413F"/>
    <w:rsid w:val="00C5153A"/>
    <w:rsid w:val="00C54D3E"/>
    <w:rsid w:val="00C72C04"/>
    <w:rsid w:val="00C76898"/>
    <w:rsid w:val="00C91FE3"/>
    <w:rsid w:val="00CB0802"/>
    <w:rsid w:val="00CF6D63"/>
    <w:rsid w:val="00D30E47"/>
    <w:rsid w:val="00D577D4"/>
    <w:rsid w:val="00D70AF2"/>
    <w:rsid w:val="00D72C9F"/>
    <w:rsid w:val="00D874C2"/>
    <w:rsid w:val="00D90B88"/>
    <w:rsid w:val="00DA273D"/>
    <w:rsid w:val="00DD267B"/>
    <w:rsid w:val="00DE5DEC"/>
    <w:rsid w:val="00E0213B"/>
    <w:rsid w:val="00E05BE8"/>
    <w:rsid w:val="00E15144"/>
    <w:rsid w:val="00E43115"/>
    <w:rsid w:val="00E51645"/>
    <w:rsid w:val="00E621ED"/>
    <w:rsid w:val="00E74AD3"/>
    <w:rsid w:val="00E87FF2"/>
    <w:rsid w:val="00EA0F41"/>
    <w:rsid w:val="00EA61A3"/>
    <w:rsid w:val="00EA6920"/>
    <w:rsid w:val="00EA742C"/>
    <w:rsid w:val="00EC673B"/>
    <w:rsid w:val="00ED1A18"/>
    <w:rsid w:val="00ED6D3D"/>
    <w:rsid w:val="00EE5532"/>
    <w:rsid w:val="00EF4E5E"/>
    <w:rsid w:val="00F101A0"/>
    <w:rsid w:val="00F12A5C"/>
    <w:rsid w:val="00F16AD9"/>
    <w:rsid w:val="00F34DC0"/>
    <w:rsid w:val="00F47E84"/>
    <w:rsid w:val="00F57390"/>
    <w:rsid w:val="00F641F3"/>
    <w:rsid w:val="00F73512"/>
    <w:rsid w:val="00FA38DE"/>
    <w:rsid w:val="00FE273E"/>
    <w:rsid w:val="01B6046E"/>
    <w:rsid w:val="02A97FD3"/>
    <w:rsid w:val="06954AF6"/>
    <w:rsid w:val="06976AC0"/>
    <w:rsid w:val="07464042"/>
    <w:rsid w:val="0DA92A95"/>
    <w:rsid w:val="0E76345F"/>
    <w:rsid w:val="10093E5F"/>
    <w:rsid w:val="10E072B6"/>
    <w:rsid w:val="11292A0B"/>
    <w:rsid w:val="122C66D6"/>
    <w:rsid w:val="14773A8D"/>
    <w:rsid w:val="14AD74AF"/>
    <w:rsid w:val="14B22D17"/>
    <w:rsid w:val="15892BC1"/>
    <w:rsid w:val="188F2B5A"/>
    <w:rsid w:val="18A312F5"/>
    <w:rsid w:val="1A1A5DE8"/>
    <w:rsid w:val="1BD71503"/>
    <w:rsid w:val="1BEF2D2A"/>
    <w:rsid w:val="1C9123A9"/>
    <w:rsid w:val="1E0C1593"/>
    <w:rsid w:val="1E256308"/>
    <w:rsid w:val="20F052F3"/>
    <w:rsid w:val="245A309F"/>
    <w:rsid w:val="2677791D"/>
    <w:rsid w:val="27277595"/>
    <w:rsid w:val="28435545"/>
    <w:rsid w:val="28F2772E"/>
    <w:rsid w:val="2A0D79C7"/>
    <w:rsid w:val="2A4738E4"/>
    <w:rsid w:val="2B0100FD"/>
    <w:rsid w:val="2C1A3224"/>
    <w:rsid w:val="2CFF241A"/>
    <w:rsid w:val="30654C8A"/>
    <w:rsid w:val="3069477A"/>
    <w:rsid w:val="31994BEB"/>
    <w:rsid w:val="31D10829"/>
    <w:rsid w:val="327775A4"/>
    <w:rsid w:val="33751688"/>
    <w:rsid w:val="37C869EA"/>
    <w:rsid w:val="37DC370C"/>
    <w:rsid w:val="392456E2"/>
    <w:rsid w:val="3C237ED3"/>
    <w:rsid w:val="3C99459C"/>
    <w:rsid w:val="3CF4186F"/>
    <w:rsid w:val="3D031AB2"/>
    <w:rsid w:val="3DA46DF1"/>
    <w:rsid w:val="3E1C72D0"/>
    <w:rsid w:val="3FAE3F57"/>
    <w:rsid w:val="412A1D04"/>
    <w:rsid w:val="41850CE8"/>
    <w:rsid w:val="431B4E6A"/>
    <w:rsid w:val="43D47D05"/>
    <w:rsid w:val="455E01CE"/>
    <w:rsid w:val="466730B2"/>
    <w:rsid w:val="46A00372"/>
    <w:rsid w:val="482A3593"/>
    <w:rsid w:val="488F68F0"/>
    <w:rsid w:val="48F6071D"/>
    <w:rsid w:val="490763FA"/>
    <w:rsid w:val="49C16F7D"/>
    <w:rsid w:val="4BD4509E"/>
    <w:rsid w:val="4CEF6490"/>
    <w:rsid w:val="4D292E6F"/>
    <w:rsid w:val="4D7A7353"/>
    <w:rsid w:val="50762272"/>
    <w:rsid w:val="52C673B2"/>
    <w:rsid w:val="52F7761E"/>
    <w:rsid w:val="537B1F4B"/>
    <w:rsid w:val="546D455B"/>
    <w:rsid w:val="55524F2D"/>
    <w:rsid w:val="55DA2F3B"/>
    <w:rsid w:val="57783371"/>
    <w:rsid w:val="57EC3417"/>
    <w:rsid w:val="58530C1B"/>
    <w:rsid w:val="59F12F67"/>
    <w:rsid w:val="5CE24DE9"/>
    <w:rsid w:val="5DDB1F64"/>
    <w:rsid w:val="5E6E2DD8"/>
    <w:rsid w:val="5E9865C0"/>
    <w:rsid w:val="5F0408BB"/>
    <w:rsid w:val="5F64491B"/>
    <w:rsid w:val="61204131"/>
    <w:rsid w:val="61967070"/>
    <w:rsid w:val="63640C4D"/>
    <w:rsid w:val="66C67529"/>
    <w:rsid w:val="670D6F06"/>
    <w:rsid w:val="67B80E5B"/>
    <w:rsid w:val="67BF6452"/>
    <w:rsid w:val="694035C3"/>
    <w:rsid w:val="69A81B1E"/>
    <w:rsid w:val="6A1862EE"/>
    <w:rsid w:val="6AFE35A8"/>
    <w:rsid w:val="6C262F44"/>
    <w:rsid w:val="70E138DD"/>
    <w:rsid w:val="75E4177A"/>
    <w:rsid w:val="76684159"/>
    <w:rsid w:val="77A80CB1"/>
    <w:rsid w:val="7883171E"/>
    <w:rsid w:val="79A100AE"/>
    <w:rsid w:val="7C3E7E36"/>
    <w:rsid w:val="7C4B60AF"/>
    <w:rsid w:val="7D0D1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9"/>
    <w:pPr>
      <w:ind w:left="1192"/>
      <w:outlineLvl w:val="0"/>
    </w:pPr>
    <w:rPr>
      <w:rFonts w:ascii="Microsoft JhengHei" w:hAnsi="Microsoft JhengHei" w:eastAsia="Microsoft JhengHei" w:cs="Microsoft JhengHei"/>
      <w:b/>
      <w:bCs/>
      <w:sz w:val="32"/>
      <w:szCs w:val="32"/>
    </w:rPr>
  </w:style>
  <w:style w:type="paragraph" w:styleId="3">
    <w:name w:val="heading 2"/>
    <w:basedOn w:val="1"/>
    <w:next w:val="1"/>
    <w:link w:val="34"/>
    <w:qFormat/>
    <w:uiPriority w:val="0"/>
    <w:pPr>
      <w:keepNext/>
      <w:keepLines/>
      <w:autoSpaceDE/>
      <w:autoSpaceDN/>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5"/>
    <w:qFormat/>
    <w:uiPriority w:val="0"/>
    <w:pPr>
      <w:keepNext/>
      <w:keepLines/>
      <w:autoSpaceDE/>
      <w:autoSpaceDN/>
      <w:spacing w:before="280" w:after="290" w:line="376" w:lineRule="auto"/>
      <w:jc w:val="both"/>
      <w:outlineLvl w:val="3"/>
    </w:pPr>
    <w:rPr>
      <w:rFonts w:ascii="Arial" w:hAnsi="Arial" w:eastAsia="黑体" w:cs="Times New Roman"/>
      <w:b/>
      <w:bCs/>
      <w:kern w:val="2"/>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9"/>
    <w:qFormat/>
    <w:uiPriority w:val="0"/>
    <w:pPr>
      <w:widowControl/>
      <w:autoSpaceDE/>
      <w:autoSpaceDN/>
      <w:spacing w:line="360" w:lineRule="auto"/>
      <w:ind w:firstLine="420"/>
    </w:pPr>
    <w:rPr>
      <w:rFonts w:hAnsi="Times New Roman" w:cs="Times New Roman"/>
      <w:sz w:val="21"/>
      <w:szCs w:val="20"/>
    </w:rPr>
  </w:style>
  <w:style w:type="paragraph" w:styleId="7">
    <w:name w:val="caption"/>
    <w:basedOn w:val="1"/>
    <w:next w:val="1"/>
    <w:qFormat/>
    <w:uiPriority w:val="0"/>
    <w:pPr>
      <w:autoSpaceDE/>
      <w:autoSpaceDN/>
      <w:jc w:val="both"/>
    </w:pPr>
    <w:rPr>
      <w:rFonts w:ascii="Cambria" w:hAnsi="Cambria" w:eastAsia="黑体" w:cs="Times New Roman"/>
      <w:kern w:val="2"/>
      <w:sz w:val="20"/>
      <w:szCs w:val="20"/>
    </w:rPr>
  </w:style>
  <w:style w:type="paragraph" w:styleId="8">
    <w:name w:val="Document Map"/>
    <w:basedOn w:val="1"/>
    <w:link w:val="33"/>
    <w:qFormat/>
    <w:uiPriority w:val="0"/>
    <w:pPr>
      <w:widowControl/>
      <w:shd w:val="clear" w:color="auto" w:fill="000080"/>
      <w:autoSpaceDE/>
      <w:autoSpaceDN/>
    </w:pPr>
    <w:rPr>
      <w:rFonts w:ascii="Times New Roman" w:hAnsi="Times New Roman" w:cs="Times New Roman"/>
      <w:sz w:val="21"/>
      <w:szCs w:val="20"/>
    </w:rPr>
  </w:style>
  <w:style w:type="paragraph" w:styleId="9">
    <w:name w:val="annotation text"/>
    <w:basedOn w:val="1"/>
    <w:link w:val="36"/>
    <w:qFormat/>
    <w:uiPriority w:val="0"/>
    <w:pPr>
      <w:autoSpaceDE/>
      <w:autoSpaceDN/>
    </w:pPr>
    <w:rPr>
      <w:rFonts w:ascii="Calibri" w:hAnsi="Calibri" w:cs="Times New Roman"/>
      <w:kern w:val="2"/>
      <w:sz w:val="21"/>
      <w:szCs w:val="24"/>
    </w:rPr>
  </w:style>
  <w:style w:type="paragraph" w:styleId="10">
    <w:name w:val="Body Text 3"/>
    <w:basedOn w:val="1"/>
    <w:link w:val="37"/>
    <w:qFormat/>
    <w:uiPriority w:val="0"/>
    <w:pPr>
      <w:autoSpaceDE/>
      <w:autoSpaceDN/>
      <w:spacing w:after="120"/>
      <w:jc w:val="both"/>
    </w:pPr>
    <w:rPr>
      <w:rFonts w:ascii="Calibri" w:hAnsi="Calibri" w:cs="Times New Roman"/>
      <w:kern w:val="2"/>
      <w:sz w:val="16"/>
      <w:szCs w:val="16"/>
    </w:rPr>
  </w:style>
  <w:style w:type="paragraph" w:styleId="11">
    <w:name w:val="Body Text"/>
    <w:basedOn w:val="1"/>
    <w:qFormat/>
    <w:uiPriority w:val="0"/>
    <w:pPr>
      <w:ind w:left="551"/>
    </w:pPr>
    <w:rPr>
      <w:sz w:val="28"/>
      <w:szCs w:val="28"/>
    </w:rPr>
  </w:style>
  <w:style w:type="paragraph" w:styleId="12">
    <w:name w:val="Plain Text"/>
    <w:basedOn w:val="1"/>
    <w:link w:val="31"/>
    <w:qFormat/>
    <w:uiPriority w:val="0"/>
    <w:pPr>
      <w:autoSpaceDE/>
      <w:autoSpaceDN/>
      <w:jc w:val="both"/>
    </w:pPr>
    <w:rPr>
      <w:rFonts w:hAnsi="Courier New" w:cs="Times New Roman"/>
      <w:kern w:val="2"/>
      <w:sz w:val="21"/>
      <w:szCs w:val="20"/>
    </w:rPr>
  </w:style>
  <w:style w:type="paragraph" w:styleId="13">
    <w:name w:val="footer"/>
    <w:basedOn w:val="1"/>
    <w:link w:val="28"/>
    <w:unhideWhenUsed/>
    <w:qFormat/>
    <w:uiPriority w:val="0"/>
    <w:pPr>
      <w:tabs>
        <w:tab w:val="center" w:pos="4153"/>
        <w:tab w:val="right" w:pos="8306"/>
      </w:tabs>
      <w:snapToGrid w:val="0"/>
    </w:pPr>
    <w:rPr>
      <w:sz w:val="18"/>
      <w:szCs w:val="18"/>
    </w:rPr>
  </w:style>
  <w:style w:type="paragraph" w:styleId="14">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autoSpaceDE/>
      <w:autoSpaceDN/>
      <w:jc w:val="both"/>
    </w:pPr>
    <w:rPr>
      <w:rFonts w:ascii="Calibri" w:hAnsi="Calibri" w:cs="Times New Roman"/>
      <w:kern w:val="2"/>
      <w:sz w:val="21"/>
      <w:szCs w:val="24"/>
    </w:rPr>
  </w:style>
  <w:style w:type="paragraph" w:styleId="16">
    <w:name w:val="index heading"/>
    <w:basedOn w:val="1"/>
    <w:next w:val="17"/>
    <w:qFormat/>
    <w:uiPriority w:val="0"/>
    <w:pPr>
      <w:autoSpaceDE/>
      <w:autoSpaceDN/>
      <w:jc w:val="both"/>
    </w:pPr>
    <w:rPr>
      <w:rFonts w:ascii="Calibri" w:hAnsi="Calibri" w:cs="Times New Roman"/>
      <w:kern w:val="2"/>
      <w:sz w:val="21"/>
      <w:szCs w:val="20"/>
    </w:rPr>
  </w:style>
  <w:style w:type="paragraph" w:styleId="17">
    <w:name w:val="index 1"/>
    <w:basedOn w:val="1"/>
    <w:next w:val="1"/>
    <w:unhideWhenUsed/>
    <w:qFormat/>
    <w:uiPriority w:val="0"/>
  </w:style>
  <w:style w:type="paragraph" w:styleId="18">
    <w:name w:val="toc 2"/>
    <w:basedOn w:val="1"/>
    <w:next w:val="1"/>
    <w:unhideWhenUsed/>
    <w:qFormat/>
    <w:uiPriority w:val="39"/>
    <w:pPr>
      <w:autoSpaceDE/>
      <w:autoSpaceDN/>
      <w:ind w:left="420" w:leftChars="200"/>
      <w:jc w:val="both"/>
    </w:pPr>
    <w:rPr>
      <w:rFonts w:ascii="Calibri" w:hAnsi="Calibri" w:eastAsia="仿宋" w:cs="Times New Roman"/>
      <w:kern w:val="2"/>
      <w:sz w:val="24"/>
    </w:rPr>
  </w:style>
  <w:style w:type="paragraph" w:styleId="19">
    <w:name w:val="Body Text 2"/>
    <w:basedOn w:val="1"/>
    <w:link w:val="41"/>
    <w:qFormat/>
    <w:uiPriority w:val="0"/>
    <w:pPr>
      <w:autoSpaceDE/>
      <w:autoSpaceDN/>
    </w:pPr>
    <w:rPr>
      <w:rFonts w:ascii="仿宋_GB2312" w:eastAsia="仿宋_GB2312" w:cs="Times New Roman"/>
      <w:snapToGrid w:val="0"/>
      <w:sz w:val="21"/>
      <w:szCs w:val="24"/>
    </w:rPr>
  </w:style>
  <w:style w:type="paragraph" w:styleId="20">
    <w:name w:val="Title"/>
    <w:basedOn w:val="1"/>
    <w:qFormat/>
    <w:uiPriority w:val="10"/>
    <w:pPr>
      <w:spacing w:before="35"/>
      <w:ind w:left="1149" w:right="1114"/>
      <w:jc w:val="center"/>
    </w:pPr>
    <w:rPr>
      <w:rFonts w:ascii="PMingLiU" w:hAnsi="PMingLiU" w:eastAsia="PMingLiU" w:cs="PMingLiU"/>
      <w:sz w:val="84"/>
      <w:szCs w:val="84"/>
    </w:rPr>
  </w:style>
  <w:style w:type="table" w:styleId="22">
    <w:name w:val="Table Grid"/>
    <w:basedOn w:val="21"/>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pPr>
      <w:spacing w:before="222"/>
      <w:ind w:left="551" w:firstLine="482"/>
    </w:pPr>
  </w:style>
  <w:style w:type="paragraph" w:customStyle="1" w:styleId="26">
    <w:name w:val="Table Paragraph"/>
    <w:basedOn w:val="1"/>
    <w:qFormat/>
    <w:uiPriority w:val="1"/>
  </w:style>
  <w:style w:type="character" w:customStyle="1" w:styleId="27">
    <w:name w:val="页眉 字符"/>
    <w:basedOn w:val="23"/>
    <w:link w:val="14"/>
    <w:qFormat/>
    <w:uiPriority w:val="99"/>
    <w:rPr>
      <w:rFonts w:ascii="宋体" w:hAnsi="宋体" w:eastAsia="宋体" w:cs="宋体"/>
      <w:sz w:val="18"/>
      <w:szCs w:val="18"/>
      <w:lang w:eastAsia="zh-CN"/>
    </w:rPr>
  </w:style>
  <w:style w:type="character" w:customStyle="1" w:styleId="28">
    <w:name w:val="页脚 字符"/>
    <w:basedOn w:val="23"/>
    <w:link w:val="13"/>
    <w:qFormat/>
    <w:uiPriority w:val="99"/>
    <w:rPr>
      <w:rFonts w:ascii="宋体" w:hAnsi="宋体" w:eastAsia="宋体" w:cs="宋体"/>
      <w:sz w:val="18"/>
      <w:szCs w:val="18"/>
      <w:lang w:eastAsia="zh-CN"/>
    </w:rPr>
  </w:style>
  <w:style w:type="character" w:customStyle="1" w:styleId="29">
    <w:name w:val="正文缩进 字符"/>
    <w:link w:val="6"/>
    <w:qFormat/>
    <w:uiPriority w:val="0"/>
    <w:rPr>
      <w:rFonts w:ascii="宋体" w:hAnsi="Times New Roman" w:eastAsia="宋体" w:cs="Times New Roman"/>
      <w:sz w:val="21"/>
      <w:szCs w:val="20"/>
      <w:lang w:eastAsia="zh-CN"/>
    </w:rPr>
  </w:style>
  <w:style w:type="paragraph" w:customStyle="1" w:styleId="30">
    <w:name w:val="Char Char Char Char"/>
    <w:basedOn w:val="1"/>
    <w:qFormat/>
    <w:uiPriority w:val="0"/>
    <w:pPr>
      <w:widowControl/>
      <w:autoSpaceDE/>
      <w:autoSpaceDN/>
      <w:spacing w:after="160" w:line="240" w:lineRule="exact"/>
    </w:pPr>
    <w:rPr>
      <w:rFonts w:ascii="Times New Roman" w:hAnsi="Times New Roman" w:eastAsia="楷体_GB2312" w:cs="Times New Roman"/>
      <w:kern w:val="2"/>
      <w:sz w:val="28"/>
      <w:szCs w:val="28"/>
    </w:rPr>
  </w:style>
  <w:style w:type="character" w:customStyle="1" w:styleId="31">
    <w:name w:val="纯文本 字符"/>
    <w:basedOn w:val="23"/>
    <w:link w:val="12"/>
    <w:qFormat/>
    <w:uiPriority w:val="0"/>
    <w:rPr>
      <w:rFonts w:ascii="宋体" w:hAnsi="Courier New" w:eastAsia="宋体" w:cs="Times New Roman"/>
      <w:kern w:val="2"/>
      <w:sz w:val="21"/>
      <w:szCs w:val="20"/>
      <w:lang w:eastAsia="zh-CN"/>
    </w:rPr>
  </w:style>
  <w:style w:type="character" w:customStyle="1" w:styleId="32">
    <w:name w:val="标题 3 字符"/>
    <w:basedOn w:val="23"/>
    <w:link w:val="4"/>
    <w:semiHidden/>
    <w:qFormat/>
    <w:uiPriority w:val="9"/>
    <w:rPr>
      <w:rFonts w:ascii="宋体" w:hAnsi="宋体" w:eastAsia="宋体" w:cs="宋体"/>
      <w:b/>
      <w:bCs/>
      <w:sz w:val="32"/>
      <w:szCs w:val="32"/>
      <w:lang w:eastAsia="zh-CN"/>
    </w:rPr>
  </w:style>
  <w:style w:type="character" w:customStyle="1" w:styleId="33">
    <w:name w:val="文档结构图 字符"/>
    <w:basedOn w:val="23"/>
    <w:link w:val="8"/>
    <w:qFormat/>
    <w:uiPriority w:val="0"/>
    <w:rPr>
      <w:rFonts w:ascii="Times New Roman" w:hAnsi="Times New Roman" w:eastAsia="宋体" w:cs="Times New Roman"/>
      <w:sz w:val="21"/>
      <w:szCs w:val="20"/>
      <w:shd w:val="clear" w:color="auto" w:fill="000080"/>
      <w:lang w:eastAsia="zh-CN"/>
    </w:rPr>
  </w:style>
  <w:style w:type="character" w:customStyle="1" w:styleId="34">
    <w:name w:val="标题 2 字符"/>
    <w:basedOn w:val="23"/>
    <w:link w:val="3"/>
    <w:qFormat/>
    <w:uiPriority w:val="0"/>
    <w:rPr>
      <w:rFonts w:ascii="Arial" w:hAnsi="Arial" w:eastAsia="黑体" w:cs="Times New Roman"/>
      <w:b/>
      <w:bCs/>
      <w:kern w:val="2"/>
      <w:sz w:val="32"/>
      <w:szCs w:val="32"/>
      <w:lang w:eastAsia="zh-CN"/>
    </w:rPr>
  </w:style>
  <w:style w:type="character" w:customStyle="1" w:styleId="35">
    <w:name w:val="标题 4 字符"/>
    <w:basedOn w:val="23"/>
    <w:link w:val="5"/>
    <w:qFormat/>
    <w:uiPriority w:val="0"/>
    <w:rPr>
      <w:rFonts w:ascii="Arial" w:hAnsi="Arial" w:eastAsia="黑体" w:cs="Times New Roman"/>
      <w:b/>
      <w:bCs/>
      <w:kern w:val="2"/>
      <w:sz w:val="28"/>
      <w:szCs w:val="28"/>
      <w:lang w:eastAsia="zh-CN"/>
    </w:rPr>
  </w:style>
  <w:style w:type="character" w:customStyle="1" w:styleId="36">
    <w:name w:val="批注文字 字符"/>
    <w:basedOn w:val="23"/>
    <w:link w:val="9"/>
    <w:qFormat/>
    <w:uiPriority w:val="0"/>
    <w:rPr>
      <w:rFonts w:ascii="Calibri" w:hAnsi="Calibri" w:eastAsia="宋体" w:cs="Times New Roman"/>
      <w:kern w:val="2"/>
      <w:sz w:val="21"/>
      <w:szCs w:val="24"/>
      <w:lang w:eastAsia="zh-CN"/>
    </w:rPr>
  </w:style>
  <w:style w:type="character" w:customStyle="1" w:styleId="37">
    <w:name w:val="正文文本 3 字符"/>
    <w:basedOn w:val="23"/>
    <w:link w:val="10"/>
    <w:qFormat/>
    <w:uiPriority w:val="0"/>
    <w:rPr>
      <w:rFonts w:ascii="Calibri" w:hAnsi="Calibri" w:eastAsia="宋体" w:cs="Times New Roman"/>
      <w:kern w:val="2"/>
      <w:sz w:val="16"/>
      <w:szCs w:val="16"/>
      <w:lang w:eastAsia="zh-CN"/>
    </w:rPr>
  </w:style>
  <w:style w:type="paragraph" w:customStyle="1" w:styleId="38">
    <w:name w:val="表格文字"/>
    <w:basedOn w:val="1"/>
    <w:qFormat/>
    <w:uiPriority w:val="0"/>
    <w:pPr>
      <w:autoSpaceDE/>
      <w:autoSpaceDN/>
      <w:spacing w:before="25" w:after="25"/>
    </w:pPr>
    <w:rPr>
      <w:rFonts w:ascii="Calibri" w:hAnsi="Calibri" w:cs="Times New Roman"/>
      <w:bCs/>
      <w:spacing w:val="10"/>
      <w:sz w:val="24"/>
      <w:szCs w:val="20"/>
    </w:rPr>
  </w:style>
  <w:style w:type="paragraph" w:customStyle="1" w:styleId="39">
    <w:name w:val="图"/>
    <w:basedOn w:val="1"/>
    <w:qFormat/>
    <w:uiPriority w:val="0"/>
    <w:pPr>
      <w:keepNext/>
      <w:autoSpaceDE/>
      <w:autoSpaceDN/>
      <w:adjustRightInd w:val="0"/>
      <w:spacing w:before="60" w:after="60" w:line="300" w:lineRule="auto"/>
      <w:jc w:val="center"/>
      <w:textAlignment w:val="center"/>
    </w:pPr>
    <w:rPr>
      <w:rFonts w:ascii="Calibri" w:hAnsi="Calibri" w:cs="Times New Roman"/>
      <w:snapToGrid w:val="0"/>
      <w:spacing w:val="20"/>
      <w:sz w:val="24"/>
      <w:szCs w:val="20"/>
    </w:rPr>
  </w:style>
  <w:style w:type="paragraph" w:customStyle="1" w:styleId="40">
    <w:name w:val="题注4"/>
    <w:basedOn w:val="1"/>
    <w:next w:val="7"/>
    <w:qFormat/>
    <w:uiPriority w:val="0"/>
    <w:pPr>
      <w:autoSpaceDE/>
      <w:autoSpaceDN/>
      <w:ind w:left="-132" w:leftChars="-64" w:right="-105" w:rightChars="-50" w:hanging="2"/>
      <w:jc w:val="center"/>
    </w:pPr>
    <w:rPr>
      <w:rFonts w:ascii="Calibri" w:hAnsi="Calibri" w:cs="Times New Roman"/>
      <w:b/>
      <w:color w:val="FF0000"/>
      <w:kern w:val="2"/>
      <w:sz w:val="21"/>
      <w:szCs w:val="21"/>
      <w:lang w:val="en-GB"/>
    </w:rPr>
  </w:style>
  <w:style w:type="character" w:customStyle="1" w:styleId="41">
    <w:name w:val="正文文本 2 字符"/>
    <w:basedOn w:val="23"/>
    <w:link w:val="19"/>
    <w:qFormat/>
    <w:uiPriority w:val="0"/>
    <w:rPr>
      <w:rFonts w:ascii="仿宋_GB2312" w:hAnsi="宋体" w:eastAsia="仿宋_GB2312" w:cs="Times New Roman"/>
      <w:snapToGrid w:val="0"/>
      <w:sz w:val="21"/>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13080</Words>
  <Characters>13441</Characters>
  <Lines>99</Lines>
  <Paragraphs>27</Paragraphs>
  <TotalTime>8</TotalTime>
  <ScaleCrop>false</ScaleCrop>
  <LinksUpToDate>false</LinksUpToDate>
  <CharactersWithSpaces>13503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2022-05-24T04:08:00Z</dcterms:created>
  <dc:creator>Administrator</dc:creator>
  <cp:lastModifiedBy>(*❦ω❦豪）</cp:lastModifiedBy>
  <dcterms:modified xsi:type="dcterms:W3CDTF">2022-05-31T00:35:09Z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Aspose Ltd.</vt:lpwstr>
  </property>
  <property fmtid="{D5CDD505-2E9C-101B-9397-08002B2CF9AE}" pid="4" name="LastSaved">
    <vt:filetime>2022-02-14T00:00:00Z</vt:filetime>
  </property>
  <property fmtid="{D5CDD505-2E9C-101B-9397-08002B2CF9AE}" pid="5" name="KSOProductBuildVer">
    <vt:lpwstr>2052-11.1.0.11744</vt:lpwstr>
  </property>
  <property fmtid="{D5CDD505-2E9C-101B-9397-08002B2CF9AE}" pid="6" name="ICV">
    <vt:lpwstr>72A5CB66447A467FBD8B447F1EFBB5F8</vt:lpwstr>
  </property>
</Properties>
</file>