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李文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1976年11月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2004-7-1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骨科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中医骨伤科 副主任中医师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2015-12-1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2016-4-1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中医骨伤科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中医骨伤科（中医）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67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1996-09~2001-07 湖北中医学院 中医骨伤 本科 全日制</w:t>
            </w:r>
            <w:r>
              <w:br/>
            </w:r>
            <w:r>
              <w:t xml:space="preserve">2001-09~2004-07 湖北中医学院 中医骨伤 硕士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2004-06~2022-06 广东省惠州市第六人民医院骨科 骨科医师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2014-09-05~2015-09-05 上海市第六人民医院 创伤骨科、关节外科、脊柱外科进修 1年</w:t>
            </w:r>
            <w:r>
              <w:br/>
            </w:r>
            <w:r>
              <w:t xml:space="preserve">2020-06-01~2020-12-30 天津医院 脊柱外科进修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2005-07-15~2015-05-08 广东省惠州市惠阳区人民医院 骨科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[论文信息]:铰链式外固定支架联合内固定治疗肘关节恐怖三联征疗效观察</w:t>
            </w:r>
            <w:r>
              <w:br/>
            </w:r>
            <w:r>
              <w:t xml:space="preserve">[科研项目]:铰链式外固定支架在肘关节恐怖三联征损伤中的应用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