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严文彦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1982年6月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2006-8-1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妇产科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2012-5-27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2012-10-28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妇产科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妇产科（临床）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64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2001-09~2006-06 湖北医药学院 临床医学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2006-08~2012-05 惠州市第六人民医院 医师</w:t>
            </w:r>
            <w:r>
              <w:br/>
            </w:r>
            <w:r>
              <w:t xml:space="preserve">2012-05~2021-12 惠州市第六人民医院 妇产科主治医师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2021-04-01~2021-06-30 南方医科大学顺德医院 产科危急重症 II类15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2006-08-01~2014-05-08 广东省惠州市惠阳区人民医院 妇产科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[论文信息]:瘢痕子宫足月妊娠经阴道分娩可行性及临床结局探讨分析</w:t>
            </w:r>
            <w:r>
              <w:br/>
            </w:r>
            <w:r>
              <w:t xml:space="preserve">[科研项目]:地中海贫血筛查及教育模式在基层医院的探讨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2019年4月28日，孕妇张巧艳，停经40周3天，妊糖，住院待产，宫口开全后出现胎儿窘迫，羊水III°，因分娩时评估不到位，延迟钳产导致新生儿严重窒息，后抢救有效，阿氏评分5分钟7分，但儿科医师拔除气管插管转运，加上医院条件限制（无转运箱），产房与儿科相隔数层，导致窒息再加重，转上级医院后家属因预后不可估计及经济原因最终选择放弃治疗，后新生儿死亡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