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方正小标宋_GBK" w:hAnsi="方正小标宋_GBK" w:eastAsia="方正小标宋_GBK" w:cs="方正小标宋_GBK"/>
          <w:sz w:val="44"/>
          <w:szCs w:val="44"/>
          <w:lang w:val="en-US" w:eastAsia="zh-CN"/>
        </w:rPr>
      </w:pPr>
      <w:bookmarkStart w:id="0" w:name="_GoBack"/>
      <w:bookmarkEnd w:id="0"/>
      <w:r>
        <w:rPr>
          <w:sz w:val="44"/>
        </w:rPr>
        <mc:AlternateContent>
          <mc:Choice Requires="wps">
            <w:drawing>
              <wp:anchor distT="0" distB="0" distL="114300" distR="114300" simplePos="0" relativeHeight="251659264" behindDoc="0" locked="0" layoutInCell="1" allowOverlap="1">
                <wp:simplePos x="0" y="0"/>
                <wp:positionH relativeFrom="column">
                  <wp:posOffset>-533400</wp:posOffset>
                </wp:positionH>
                <wp:positionV relativeFrom="paragraph">
                  <wp:posOffset>-511175</wp:posOffset>
                </wp:positionV>
                <wp:extent cx="956310" cy="523240"/>
                <wp:effectExtent l="0" t="0" r="0" b="0"/>
                <wp:wrapNone/>
                <wp:docPr id="1" name="文本框 1"/>
                <wp:cNvGraphicFramePr/>
                <a:graphic xmlns:a="http://schemas.openxmlformats.org/drawingml/2006/main">
                  <a:graphicData uri="http://schemas.microsoft.com/office/word/2010/wordprocessingShape">
                    <wps:wsp>
                      <wps:cNvSpPr txBox="1"/>
                      <wps:spPr>
                        <a:xfrm>
                          <a:off x="575310" y="476250"/>
                          <a:ext cx="956310" cy="523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36"/>
                                <w:szCs w:val="36"/>
                                <w:lang w:val="en-US" w:eastAsia="zh-CN"/>
                              </w:rPr>
                            </w:pPr>
                            <w:r>
                              <w:rPr>
                                <w:rFonts w:hint="eastAsia"/>
                                <w:sz w:val="36"/>
                                <w:szCs w:val="36"/>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pt;margin-top:-40.25pt;height:41.2pt;width:75.3pt;z-index:251659264;mso-width-relative:page;mso-height-relative:page;" filled="f" stroked="f" coordsize="21600,21600" o:gfxdata="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rPsXZAAAACAEAAA8AAAAAAAAAAQAgAAAAIgAA&#10;AGRycy9kb3ducmV2LnhtbFBLAQIUABQAAAAIAIdO4kBm43yxQAIAAG8EAAAOAAAAAAAAAAEAIAAA&#10;ACgBAABkcnMvZTJvRG9jLnhtbFBLBQYAAAAABgAGAFkBAADaBQAAAAA=&#10;">
                <v:fill on="f" focussize="0,0"/>
                <v:stroke on="f" weight="0.5pt"/>
                <v:imagedata o:title=""/>
                <o:lock v:ext="edit" aspectratio="f"/>
                <v:textbox>
                  <w:txbxContent>
                    <w:p>
                      <w:pPr>
                        <w:rPr>
                          <w:rFonts w:hint="default" w:eastAsia="宋体"/>
                          <w:sz w:val="36"/>
                          <w:szCs w:val="36"/>
                          <w:lang w:val="en-US" w:eastAsia="zh-CN"/>
                        </w:rPr>
                      </w:pPr>
                      <w:r>
                        <w:rPr>
                          <w:rFonts w:hint="eastAsia"/>
                          <w:sz w:val="36"/>
                          <w:szCs w:val="36"/>
                          <w:lang w:val="en-US" w:eastAsia="zh-CN"/>
                        </w:rPr>
                        <w:t>附件1</w:t>
                      </w:r>
                    </w:p>
                  </w:txbxContent>
                </v:textbox>
              </v:shape>
            </w:pict>
          </mc:Fallback>
        </mc:AlternateContent>
      </w:r>
      <w:r>
        <w:rPr>
          <w:rFonts w:hint="eastAsia" w:ascii="方正小标宋_GBK" w:hAnsi="方正小标宋_GBK" w:eastAsia="方正小标宋_GBK" w:cs="方正小标宋_GBK"/>
          <w:sz w:val="44"/>
          <w:szCs w:val="44"/>
          <w:lang w:val="en-US" w:eastAsia="zh-CN"/>
        </w:rPr>
        <w:t>惠州市第六人民医院安保服务采购需求</w:t>
      </w:r>
    </w:p>
    <w:p>
      <w:pPr>
        <w:spacing w:beforeLines="0" w:afterLines="0"/>
        <w:jc w:val="center"/>
        <w:rPr>
          <w:rFonts w:hint="eastAsia" w:ascii="方正小标宋_GBK" w:hAnsi="方正小标宋_GBK" w:eastAsia="方正小标宋_GBK" w:cs="方正小标宋_GBK"/>
          <w:sz w:val="22"/>
          <w:szCs w:val="22"/>
          <w:lang w:val="en-US" w:eastAsia="zh-CN"/>
        </w:rPr>
      </w:pPr>
    </w:p>
    <w:p>
      <w:pPr>
        <w:spacing w:beforeLines="0" w:afterLines="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医院总体概况</w:t>
      </w:r>
    </w:p>
    <w:p>
      <w:pPr>
        <w:spacing w:beforeLines="0" w:afterLine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1.惠州市</w:t>
      </w:r>
      <w:r>
        <w:rPr>
          <w:rFonts w:hint="eastAsia" w:ascii="方正仿宋_GBK" w:hAnsi="方正仿宋_GBK" w:eastAsia="方正仿宋_GBK" w:cs="方正仿宋_GBK"/>
          <w:sz w:val="32"/>
          <w:szCs w:val="32"/>
          <w:lang w:val="en-US" w:eastAsia="zh-CN"/>
        </w:rPr>
        <w:t>第六</w:t>
      </w:r>
      <w:r>
        <w:rPr>
          <w:rFonts w:hint="eastAsia" w:ascii="方正仿宋_GBK" w:hAnsi="方正仿宋_GBK" w:eastAsia="方正仿宋_GBK" w:cs="方正仿宋_GBK"/>
          <w:sz w:val="32"/>
          <w:szCs w:val="32"/>
        </w:rPr>
        <w:t>人民医院（含</w:t>
      </w:r>
      <w:r>
        <w:rPr>
          <w:rFonts w:hint="eastAsia" w:ascii="方正仿宋_GBK" w:hAnsi="方正仿宋_GBK" w:eastAsia="方正仿宋_GBK" w:cs="方正仿宋_GBK"/>
          <w:sz w:val="32"/>
          <w:szCs w:val="32"/>
          <w:lang w:val="en-US" w:eastAsia="zh-CN"/>
        </w:rPr>
        <w:t>崇雅路分院、土湖分院</w:t>
      </w:r>
      <w:r>
        <w:rPr>
          <w:rFonts w:hint="eastAsia" w:ascii="方正仿宋_GBK" w:hAnsi="方正仿宋_GBK" w:eastAsia="方正仿宋_GBK" w:cs="方正仿宋_GBK"/>
          <w:sz w:val="32"/>
          <w:szCs w:val="32"/>
        </w:rPr>
        <w:t>）设置病床总数</w:t>
      </w:r>
      <w:r>
        <w:rPr>
          <w:rFonts w:hint="eastAsia" w:ascii="方正仿宋_GBK" w:hAnsi="方正仿宋_GBK" w:eastAsia="方正仿宋_GBK" w:cs="方正仿宋_GBK"/>
          <w:sz w:val="32"/>
          <w:szCs w:val="32"/>
          <w:lang w:val="en-US" w:eastAsia="zh-CN"/>
        </w:rPr>
        <w:t>1200</w:t>
      </w:r>
      <w:r>
        <w:rPr>
          <w:rFonts w:hint="eastAsia" w:ascii="方正仿宋_GBK" w:hAnsi="方正仿宋_GBK" w:eastAsia="方正仿宋_GBK" w:cs="方正仿宋_GBK"/>
          <w:sz w:val="32"/>
          <w:szCs w:val="32"/>
        </w:rPr>
        <w:t>张，实际开放病床</w:t>
      </w:r>
      <w:r>
        <w:rPr>
          <w:rFonts w:hint="eastAsia" w:ascii="方正仿宋_GBK" w:hAnsi="方正仿宋_GBK" w:eastAsia="方正仿宋_GBK" w:cs="方正仿宋_GBK"/>
          <w:sz w:val="32"/>
          <w:szCs w:val="32"/>
          <w:lang w:val="en-US" w:eastAsia="zh-CN"/>
        </w:rPr>
        <w:t>1026</w:t>
      </w:r>
      <w:r>
        <w:rPr>
          <w:rFonts w:hint="eastAsia" w:ascii="方正仿宋_GBK" w:hAnsi="方正仿宋_GBK" w:eastAsia="方正仿宋_GBK" w:cs="方正仿宋_GBK"/>
          <w:sz w:val="32"/>
          <w:szCs w:val="32"/>
        </w:rPr>
        <w:t>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建筑</w:t>
      </w:r>
      <w:r>
        <w:rPr>
          <w:rFonts w:hint="eastAsia" w:ascii="方正仿宋_GBK" w:hAnsi="方正仿宋_GBK" w:eastAsia="方正仿宋_GBK" w:cs="方正仿宋_GBK"/>
          <w:sz w:val="32"/>
          <w:szCs w:val="32"/>
        </w:rPr>
        <w:t>面积（含</w:t>
      </w:r>
      <w:r>
        <w:rPr>
          <w:rFonts w:hint="eastAsia" w:ascii="方正仿宋_GBK" w:hAnsi="方正仿宋_GBK" w:eastAsia="方正仿宋_GBK" w:cs="方正仿宋_GBK"/>
          <w:sz w:val="32"/>
          <w:szCs w:val="32"/>
          <w:lang w:val="en-US" w:eastAsia="zh-CN"/>
        </w:rPr>
        <w:t>崇雅路分院、土湖分院</w:t>
      </w:r>
      <w:r>
        <w:rPr>
          <w:rFonts w:hint="eastAsia" w:ascii="方正仿宋_GBK" w:hAnsi="方正仿宋_GBK" w:eastAsia="方正仿宋_GBK" w:cs="方正仿宋_GBK"/>
          <w:sz w:val="32"/>
          <w:szCs w:val="32"/>
        </w:rPr>
        <w:t>)约为：</w:t>
      </w:r>
      <w:r>
        <w:rPr>
          <w:rFonts w:hint="eastAsia" w:ascii="方正仿宋_GBK" w:hAnsi="方正仿宋_GBK" w:eastAsia="方正仿宋_GBK" w:cs="方正仿宋_GBK"/>
          <w:sz w:val="32"/>
          <w:szCs w:val="32"/>
          <w:lang w:val="en-US" w:eastAsia="zh-CN"/>
        </w:rPr>
        <w:t>137023</w:t>
      </w:r>
      <w:r>
        <w:rPr>
          <w:rFonts w:hint="eastAsia" w:ascii="方正仿宋_GBK" w:hAnsi="方正仿宋_GBK" w:eastAsia="方正仿宋_GBK" w:cs="方正仿宋_GBK"/>
          <w:sz w:val="32"/>
          <w:szCs w:val="32"/>
        </w:rPr>
        <w:t>平方米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（截止20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5655"/>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shd w:val="clear" w:color="auto" w:fill="BEBEBE" w:themeFill="background1" w:themeFillShade="BF"/>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序号</w:t>
            </w:r>
          </w:p>
        </w:tc>
        <w:tc>
          <w:tcPr>
            <w:tcW w:w="5655" w:type="dxa"/>
            <w:shd w:val="clear" w:color="auto" w:fill="BEBEBE" w:themeFill="background1" w:themeFillShade="BF"/>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名称</w:t>
            </w:r>
          </w:p>
        </w:tc>
        <w:tc>
          <w:tcPr>
            <w:tcW w:w="2125" w:type="dxa"/>
            <w:shd w:val="clear" w:color="auto" w:fill="BEBEBE" w:themeFill="background1" w:themeFillShade="BF"/>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门诊楼：地面5层；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医技楼：地面3层；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3</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综合楼：地面7层；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15266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4</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后勤楼：地面2层；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5</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妇儿大楼：地面12层，地下1层；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21083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6</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住院大楼：地面17层，地下2层；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68830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7</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肿瘤放疗中心：地面1层；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8</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康复楼：地面6层；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9</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高压氧舱：地面1层；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10</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发热门诊：地面1层；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11</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职工宿舍区1、2、3幢：地面6-7层；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4120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12</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大埔宿舍区：7层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13</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崇雅路分院：8层；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5543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14</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土湖分院：医技楼1层、住院楼5层、宿舍楼3层</w:t>
            </w:r>
          </w:p>
        </w:tc>
        <w:tc>
          <w:tcPr>
            <w:tcW w:w="2125" w:type="dxa"/>
            <w:vAlign w:val="center"/>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4540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1" w:type="dxa"/>
            <w:gridSpan w:val="2"/>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合计</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137023</w:t>
            </w:r>
          </w:p>
        </w:tc>
      </w:tr>
    </w:tbl>
    <w:p>
      <w:pPr>
        <w:numPr>
          <w:ilvl w:val="0"/>
          <w:numId w:val="0"/>
        </w:numPr>
        <w:wordWrap w:val="0"/>
        <w:jc w:val="right"/>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注：以实际为准      </w:t>
      </w:r>
    </w:p>
    <w:p>
      <w:pPr>
        <w:numPr>
          <w:ilvl w:val="0"/>
          <w:numId w:val="1"/>
        </w:num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医院内各楼层功能分布</w:t>
      </w:r>
    </w:p>
    <w:p>
      <w:pPr>
        <w:numPr>
          <w:ilvl w:val="0"/>
          <w:numId w:val="0"/>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（1）门诊楼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急诊部（胸痛中心、卒中中心、胸痛诊室、卒中诊室、急性上消化道出血诊室、狂犬处置门诊）、西药房、中药房、收费处、输液中心、抽血处、客户服务部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耳鼻咽喉头颈外科门诊、眼科门诊、便民门诊、门诊换药室、PICC维护门诊、门诊手术室、泌尿外科门诊、肾内科门诊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健康管理中心、康复理疗室、中西医结合风湿门诊、消化内科诊室、肠道门诊肝病门诊、皮肤激光美容科（含实验室）、肝胆胃肠外科诊室、整形美容手外烧伤科门诊、收费处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四层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神经医学中心门诊、卒中筛查门诊、骨科中心门诊、病案室、临床药学办公室、收费处、广东省成人接种门诊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五层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心血管内科诊室、呼吸内科诊室、戒烟门诊、营养门诊、介入科诊室、普通内科诊室、肿瘤血液科诊室、惠州名医工作室、门诊部办公室、收费处、客户服务部、调解室、疼痛科门诊、肛肠科诊室</w:t>
            </w:r>
          </w:p>
        </w:tc>
      </w:tr>
    </w:tbl>
    <w:p>
      <w:pPr>
        <w:numPr>
          <w:ilvl w:val="0"/>
          <w:numId w:val="2"/>
        </w:num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医技楼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图书室、急诊重症监护室（EICU）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中医门诊、检验科、病理科</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综合楼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感染性疾病科（北区）、功能科、门急诊检验（南区）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感染性疾病科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感染性疾病科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四层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中医科住院区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五层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行政办公室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六层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康复医学科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七层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手术室</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后勤楼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饭堂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多功能厅、物业办公室</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妇儿大楼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儿科发热门诊、</w:t>
            </w:r>
            <w:r>
              <w:rPr>
                <w:rFonts w:hint="default" w:ascii="方正仿宋_GBK" w:hAnsi="方正仿宋_GBK" w:eastAsia="方正仿宋_GBK" w:cs="方正仿宋_GBK"/>
                <w:sz w:val="32"/>
                <w:szCs w:val="32"/>
                <w:vertAlign w:val="baseline"/>
                <w:lang w:val="en-US" w:eastAsia="zh-CN"/>
              </w:rPr>
              <w:t>儿科急诊室、输液区、采血室、雾化室、抢救室、妇保诊室、药房、收费处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儿科门诊、儿童保健中心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产科门诊、出入证办理处、胎监室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四层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妇科门诊、妇科手术检查治疗区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五层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产科一区（待产室、产房、手术室）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六层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产科二区、产后康复中心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七层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产科三区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八层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特诊二区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九层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妇科住院区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儿科一区（NICU）、儿科四区（PICU）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儿科二区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儿科三区</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住院大楼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负一层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地下停车场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负二层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地下停车场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出入院办理处、医保部、信息部（含电脑科）、放射科、介入科，监控室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检验科、中心药房、胃肠镜中心、输血科、营养科、肿瘤药物配置室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病理科、中心供应室、院史馆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四层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中心手术室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五层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泌尿外科（北区）、ICU病房（南区）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六层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肾内科（北区）、血透中心（南区）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七层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神经内科（北区）、神经内科重症监护病房（南区）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八层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消化内科（北区）、胃肠肝胆外科（南区）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九层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心血管内科（北区）、CCU（南区）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老年病科（南北区）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神经外科、胸外科（北区）、外科重症监护病房（南区）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呼吸与内分泌科（南区）、甲状腺乳腺外科（北区）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十三层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手足显微整形外科、烧伤科（南北区）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十四层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肿瘤血液科（南北区）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十五层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骨科中心（南北区）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十六层南区</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耳鼻咽喉头颈外科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十七层南区</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眼科</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肿瘤放疗中心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肿瘤放疗中心</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康复楼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发热门诊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肿瘤放疗中心办公室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四层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五层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行政办公室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kern w:val="2"/>
                <w:sz w:val="32"/>
                <w:szCs w:val="32"/>
                <w:vertAlign w:val="baseline"/>
                <w:lang w:val="en-US" w:eastAsia="zh-CN"/>
              </w:rPr>
              <w:t>六层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康复医学科</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高压氧舱</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高压氧舱</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发热门诊</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发热门诊</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职工宿舍区（3栋）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1-8层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宿舍</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大埔宿舍区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1-7层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宿舍</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崇雅路分院</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药房、收费处、挂号处、外科诊室、换药室、放射科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tcPr>
          <w:p>
            <w:pPr>
              <w:widowControl w:val="0"/>
              <w:numPr>
                <w:ilvl w:val="0"/>
                <w:numId w:val="0"/>
              </w:num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内科诊室、儿科诊室、核酸采集点、雾化室、输液区、抽血处、幽门螺旋杆菌检测室、肌注室/抢救室、会议室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胎监室、围产期保健室、脐血流检测室、妇科小手术室、妇科专家诊室、妇科诊室、人流室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四层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B超室、心电图室、彩超室、化验室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五层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神经内科专家诊室、五官科（眼耳鼻喉科）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六层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规划中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七层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口腔治疗中心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八层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口腔治疗中心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九层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设备房</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土湖分院-医技楼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DR室、发热诊室</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土湖分院-住院楼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药房、收费处、输液室、抢救室、肛肠科诊室、彩超室、核酸采样室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内科诊室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31" w:type="dxa"/>
            <w:vAlign w:val="top"/>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肛肠科病房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eastAsia"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四层</w:t>
            </w:r>
          </w:p>
        </w:tc>
        <w:tc>
          <w:tcPr>
            <w:tcW w:w="6931" w:type="dxa"/>
            <w:vAlign w:val="top"/>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肛肠科病房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eastAsia"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五层</w:t>
            </w:r>
          </w:p>
        </w:tc>
        <w:tc>
          <w:tcPr>
            <w:tcW w:w="6931" w:type="dxa"/>
            <w:vAlign w:val="top"/>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手术室、会议室</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土湖分院-宿舍楼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vAlign w:val="top"/>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病案室、杂物房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vAlign w:val="top"/>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财务票据仓库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31" w:type="dxa"/>
            <w:vAlign w:val="top"/>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财务票据仓库</w:t>
            </w:r>
          </w:p>
        </w:tc>
      </w:tr>
    </w:tbl>
    <w:p>
      <w:pPr>
        <w:numPr>
          <w:ilvl w:val="0"/>
          <w:numId w:val="0"/>
        </w:numPr>
        <w:wordWrap w:val="0"/>
        <w:jc w:val="righ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注：以实际为准      </w:t>
      </w:r>
    </w:p>
    <w:p>
      <w:pPr>
        <w:numPr>
          <w:ilvl w:val="0"/>
          <w:numId w:val="0"/>
        </w:numPr>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二、采购需求</w:t>
      </w:r>
    </w:p>
    <w:p>
      <w:pPr>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1、本项目采购清单</w:t>
      </w:r>
    </w:p>
    <w:p>
      <w:pPr>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（1）采购人确定本项目的主要标的公开事项，包括：安保服务。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2767"/>
        <w:gridCol w:w="1233"/>
        <w:gridCol w:w="1083"/>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序号</w:t>
            </w:r>
          </w:p>
        </w:tc>
        <w:tc>
          <w:tcPr>
            <w:tcW w:w="276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标的名称</w:t>
            </w:r>
          </w:p>
        </w:tc>
        <w:tc>
          <w:tcPr>
            <w:tcW w:w="1233"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单位</w:t>
            </w:r>
          </w:p>
        </w:tc>
        <w:tc>
          <w:tcPr>
            <w:tcW w:w="1083"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数量</w:t>
            </w:r>
          </w:p>
        </w:tc>
        <w:tc>
          <w:tcPr>
            <w:tcW w:w="2853"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1</w:t>
            </w:r>
          </w:p>
        </w:tc>
        <w:tc>
          <w:tcPr>
            <w:tcW w:w="276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安保服务</w:t>
            </w:r>
          </w:p>
        </w:tc>
        <w:tc>
          <w:tcPr>
            <w:tcW w:w="1233"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年</w:t>
            </w:r>
          </w:p>
        </w:tc>
        <w:tc>
          <w:tcPr>
            <w:tcW w:w="1083"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1</w:t>
            </w:r>
          </w:p>
        </w:tc>
        <w:tc>
          <w:tcPr>
            <w:tcW w:w="2853"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3830400.00元</w:t>
            </w:r>
          </w:p>
        </w:tc>
      </w:tr>
    </w:tbl>
    <w:p>
      <w:pPr>
        <w:numPr>
          <w:ilvl w:val="0"/>
          <w:numId w:val="3"/>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采购清单具体要求</w:t>
      </w:r>
    </w:p>
    <w:tbl>
      <w:tblPr>
        <w:tblStyle w:val="3"/>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9"/>
        <w:gridCol w:w="7"/>
        <w:gridCol w:w="1396"/>
        <w:gridCol w:w="1754"/>
        <w:gridCol w:w="1287"/>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岗位</w:t>
            </w:r>
          </w:p>
        </w:tc>
        <w:tc>
          <w:tcPr>
            <w:tcW w:w="1403" w:type="dxa"/>
            <w:gridSpan w:val="2"/>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工时/日</w:t>
            </w:r>
          </w:p>
        </w:tc>
        <w:tc>
          <w:tcPr>
            <w:tcW w:w="1754"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工作日/周</w:t>
            </w:r>
          </w:p>
        </w:tc>
        <w:tc>
          <w:tcPr>
            <w:tcW w:w="1287"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人力数</w:t>
            </w:r>
          </w:p>
        </w:tc>
        <w:tc>
          <w:tcPr>
            <w:tcW w:w="2174"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消防监控中心</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24</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6</w:t>
            </w:r>
          </w:p>
        </w:tc>
        <w:tc>
          <w:tcPr>
            <w:tcW w:w="217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1号门岗</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24</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3</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2号门岗</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24</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3</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3号门岗</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24</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3</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门诊预检分诊</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24</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3</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妇幼预检分诊</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24</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3</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gridSpan w:val="2"/>
            <w:vAlign w:val="top"/>
          </w:tcPr>
          <w:p>
            <w:pPr>
              <w:widowControl w:val="0"/>
              <w:numPr>
                <w:ilvl w:val="0"/>
                <w:numId w:val="0"/>
              </w:numPr>
              <w:tabs>
                <w:tab w:val="center" w:pos="2593"/>
                <w:tab w:val="left" w:pos="4523"/>
              </w:tabs>
              <w:ind w:left="0" w:leftChars="0" w:firstLine="0" w:firstLineChars="0"/>
              <w:jc w:val="center"/>
              <w:rPr>
                <w:rFonts w:hint="default" w:ascii="方正仿宋_GBK" w:hAnsi="方正仿宋_GBK" w:eastAsia="方正仿宋_GBK" w:cs="方正仿宋_GBK"/>
                <w:kern w:val="2"/>
                <w:sz w:val="32"/>
                <w:szCs w:val="32"/>
                <w:highlight w:val="none"/>
                <w:vertAlign w:val="baseline"/>
                <w:lang w:val="en-US" w:eastAsia="zh-CN"/>
              </w:rPr>
            </w:pPr>
            <w:r>
              <w:rPr>
                <w:rFonts w:hint="eastAsia" w:ascii="方正仿宋_GBK" w:hAnsi="方正仿宋_GBK" w:eastAsia="方正仿宋_GBK" w:cs="方正仿宋_GBK"/>
                <w:kern w:val="2"/>
                <w:sz w:val="32"/>
                <w:szCs w:val="32"/>
                <w:highlight w:val="none"/>
                <w:vertAlign w:val="baseline"/>
                <w:lang w:val="en-US" w:eastAsia="zh-CN"/>
              </w:rPr>
              <w:t>急诊门口岗</w:t>
            </w:r>
            <w:r>
              <w:rPr>
                <w:rFonts w:hint="eastAsia" w:ascii="方正仿宋_GBK" w:hAnsi="方正仿宋_GBK" w:eastAsia="方正仿宋_GBK" w:cs="方正仿宋_GBK"/>
                <w:kern w:val="2"/>
                <w:sz w:val="32"/>
                <w:szCs w:val="32"/>
                <w:highlight w:val="none"/>
                <w:vertAlign w:val="baseline"/>
                <w:lang w:val="en-US" w:eastAsia="zh-CN"/>
              </w:rPr>
              <w:tab/>
            </w:r>
            <w:r>
              <w:rPr>
                <w:rFonts w:hint="eastAsia" w:ascii="方正仿宋_GBK" w:hAnsi="方正仿宋_GBK" w:eastAsia="方正仿宋_GBK" w:cs="方正仿宋_GBK"/>
                <w:kern w:val="2"/>
                <w:sz w:val="32"/>
                <w:szCs w:val="32"/>
                <w:highlight w:val="none"/>
                <w:vertAlign w:val="baseline"/>
                <w:lang w:val="en-US" w:eastAsia="zh-CN"/>
              </w:rPr>
              <w:t>24</w:t>
            </w:r>
            <w:r>
              <w:rPr>
                <w:rFonts w:hint="eastAsia" w:ascii="方正仿宋_GBK" w:hAnsi="方正仿宋_GBK" w:eastAsia="方正仿宋_GBK" w:cs="方正仿宋_GBK"/>
                <w:kern w:val="2"/>
                <w:sz w:val="32"/>
                <w:szCs w:val="32"/>
                <w:highlight w:val="none"/>
                <w:vertAlign w:val="baseline"/>
                <w:lang w:val="en-US" w:eastAsia="zh-CN"/>
              </w:rPr>
              <w:tab/>
            </w:r>
            <w:r>
              <w:rPr>
                <w:rFonts w:hint="eastAsia" w:ascii="方正仿宋_GBK" w:hAnsi="方正仿宋_GBK" w:eastAsia="方正仿宋_GBK" w:cs="方正仿宋_GBK"/>
                <w:kern w:val="2"/>
                <w:sz w:val="32"/>
                <w:szCs w:val="32"/>
                <w:highlight w:val="none"/>
                <w:vertAlign w:val="baseline"/>
                <w:lang w:val="en-US" w:eastAsia="zh-CN"/>
              </w:rPr>
              <w:t>7</w:t>
            </w:r>
          </w:p>
        </w:tc>
        <w:tc>
          <w:tcPr>
            <w:tcW w:w="1396" w:type="dxa"/>
            <w:vAlign w:val="top"/>
          </w:tcPr>
          <w:p>
            <w:pPr>
              <w:widowControl w:val="0"/>
              <w:numPr>
                <w:ilvl w:val="0"/>
                <w:numId w:val="0"/>
              </w:numPr>
              <w:tabs>
                <w:tab w:val="center" w:pos="2593"/>
                <w:tab w:val="left" w:pos="4523"/>
              </w:tabs>
              <w:ind w:left="0" w:leftChars="0" w:firstLine="0" w:firstLineChars="0"/>
              <w:jc w:val="center"/>
              <w:rPr>
                <w:rFonts w:hint="default" w:ascii="方正仿宋_GBK" w:hAnsi="方正仿宋_GBK" w:eastAsia="方正仿宋_GBK" w:cs="方正仿宋_GBK"/>
                <w:kern w:val="2"/>
                <w:sz w:val="32"/>
                <w:szCs w:val="32"/>
                <w:highlight w:val="none"/>
                <w:vertAlign w:val="baseline"/>
                <w:lang w:val="en-US" w:eastAsia="zh-CN"/>
              </w:rPr>
            </w:pPr>
            <w:r>
              <w:rPr>
                <w:rFonts w:hint="eastAsia" w:ascii="方正仿宋_GBK" w:hAnsi="方正仿宋_GBK" w:eastAsia="方正仿宋_GBK" w:cs="方正仿宋_GBK"/>
                <w:kern w:val="2"/>
                <w:sz w:val="32"/>
                <w:szCs w:val="32"/>
                <w:highlight w:val="none"/>
                <w:vertAlign w:val="baseline"/>
                <w:lang w:val="en-US" w:eastAsia="zh-CN"/>
              </w:rPr>
              <w:t>24</w:t>
            </w:r>
          </w:p>
        </w:tc>
        <w:tc>
          <w:tcPr>
            <w:tcW w:w="1754" w:type="dxa"/>
            <w:vAlign w:val="top"/>
          </w:tcPr>
          <w:p>
            <w:pPr>
              <w:widowControl w:val="0"/>
              <w:numPr>
                <w:ilvl w:val="0"/>
                <w:numId w:val="0"/>
              </w:numPr>
              <w:tabs>
                <w:tab w:val="center" w:pos="2593"/>
                <w:tab w:val="left" w:pos="4523"/>
              </w:tabs>
              <w:ind w:left="0" w:leftChars="0" w:firstLine="0" w:firstLineChars="0"/>
              <w:jc w:val="center"/>
              <w:rPr>
                <w:rFonts w:hint="default" w:ascii="方正仿宋_GBK" w:hAnsi="方正仿宋_GBK" w:eastAsia="方正仿宋_GBK" w:cs="方正仿宋_GBK"/>
                <w:kern w:val="2"/>
                <w:sz w:val="32"/>
                <w:szCs w:val="32"/>
                <w:highlight w:val="none"/>
                <w:vertAlign w:val="baseline"/>
                <w:lang w:val="en-US" w:eastAsia="zh-CN"/>
              </w:rPr>
            </w:pPr>
            <w:r>
              <w:rPr>
                <w:rFonts w:hint="eastAsia" w:ascii="方正仿宋_GBK" w:hAnsi="方正仿宋_GBK" w:eastAsia="方正仿宋_GBK" w:cs="方正仿宋_GBK"/>
                <w:kern w:val="2"/>
                <w:sz w:val="32"/>
                <w:szCs w:val="32"/>
                <w:highlight w:val="none"/>
                <w:vertAlign w:val="baseline"/>
                <w:lang w:val="en-US" w:eastAsia="zh-CN"/>
              </w:rPr>
              <w:t>7</w:t>
            </w:r>
          </w:p>
        </w:tc>
        <w:tc>
          <w:tcPr>
            <w:tcW w:w="1287"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highlight w:val="none"/>
                <w:vertAlign w:val="baseline"/>
                <w:lang w:val="en-US" w:eastAsia="zh-CN"/>
              </w:rPr>
            </w:pPr>
            <w:r>
              <w:rPr>
                <w:rFonts w:hint="eastAsia" w:ascii="方正仿宋_GBK" w:hAnsi="方正仿宋_GBK" w:eastAsia="方正仿宋_GBK" w:cs="方正仿宋_GBK"/>
                <w:kern w:val="2"/>
                <w:sz w:val="32"/>
                <w:szCs w:val="32"/>
                <w:highlight w:val="none"/>
                <w:vertAlign w:val="baseline"/>
                <w:lang w:val="en-US" w:eastAsia="zh-CN"/>
              </w:rPr>
              <w:t>3</w:t>
            </w:r>
          </w:p>
        </w:tc>
        <w:tc>
          <w:tcPr>
            <w:tcW w:w="2174" w:type="dxa"/>
            <w:vAlign w:val="top"/>
          </w:tcPr>
          <w:p>
            <w:pPr>
              <w:widowControl w:val="0"/>
              <w:numPr>
                <w:ilvl w:val="0"/>
                <w:numId w:val="0"/>
              </w:numPr>
              <w:ind w:left="0" w:leftChars="0" w:firstLine="0" w:firstLineChars="0"/>
              <w:rPr>
                <w:rFonts w:hint="default" w:ascii="方正仿宋_GBK" w:hAnsi="方正仿宋_GBK" w:eastAsia="方正仿宋_GBK" w:cs="方正仿宋_GBK"/>
                <w:kern w:val="2"/>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发热门诊岗</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24</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3</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摩托车停放区</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24</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3</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卸货区</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24</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3</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住院部南北区</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24</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6</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地面停车场</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24</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5</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地下停车场</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12</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1.5</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北门出口</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12</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1.5</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行政办公楼</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12</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1.5</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消防治安巡逻</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24</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6</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崇雅分院</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24</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4</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土湖分院</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24</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3</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核酸采样点</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12</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1.5</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班长</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24</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4</w:t>
            </w:r>
          </w:p>
        </w:tc>
        <w:tc>
          <w:tcPr>
            <w:tcW w:w="217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协调工作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队长</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24</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w:t>
            </w:r>
          </w:p>
        </w:tc>
        <w:tc>
          <w:tcPr>
            <w:tcW w:w="217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协调工作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临时应急和轮休</w:t>
            </w:r>
          </w:p>
        </w:tc>
        <w:tc>
          <w:tcPr>
            <w:tcW w:w="1403" w:type="dxa"/>
            <w:gridSpan w:val="2"/>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24</w:t>
            </w:r>
          </w:p>
        </w:tc>
        <w:tc>
          <w:tcPr>
            <w:tcW w:w="1754"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7</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15</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gridSpan w:val="4"/>
          </w:tcPr>
          <w:p>
            <w:pPr>
              <w:widowControl w:val="0"/>
              <w:numPr>
                <w:ilvl w:val="0"/>
                <w:numId w:val="0"/>
              </w:numPr>
              <w:jc w:val="center"/>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总人数</w:t>
            </w:r>
          </w:p>
        </w:tc>
        <w:tc>
          <w:tcPr>
            <w:tcW w:w="1287"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84</w:t>
            </w:r>
          </w:p>
        </w:tc>
        <w:tc>
          <w:tcPr>
            <w:tcW w:w="2174" w:type="dxa"/>
          </w:tcPr>
          <w:p>
            <w:pPr>
              <w:widowControl w:val="0"/>
              <w:numPr>
                <w:ilvl w:val="0"/>
                <w:numId w:val="0"/>
              </w:numPr>
              <w:rPr>
                <w:rFonts w:hint="default" w:ascii="方正仿宋_GBK" w:hAnsi="方正仿宋_GBK" w:eastAsia="方正仿宋_GBK" w:cs="方正仿宋_GBK"/>
                <w:sz w:val="32"/>
                <w:szCs w:val="32"/>
                <w:highlight w:val="none"/>
                <w:vertAlign w:val="baseline"/>
                <w:lang w:val="en-US" w:eastAsia="zh-CN"/>
              </w:rPr>
            </w:pPr>
          </w:p>
        </w:tc>
      </w:tr>
    </w:tbl>
    <w:p>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安保服务内容</w:t>
      </w:r>
    </w:p>
    <w:p>
      <w:pPr>
        <w:keepNext w:val="0"/>
        <w:keepLines w:val="0"/>
        <w:pageBreakBefore w:val="0"/>
        <w:widowControl/>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方正仿宋_GBK" w:hAnsi="方正仿宋_GBK" w:eastAsia="方正仿宋_GBK" w:cs="方正仿宋_GBK"/>
          <w:sz w:val="32"/>
          <w:szCs w:val="24"/>
          <w:highlight w:val="none"/>
        </w:rPr>
      </w:pPr>
      <w:r>
        <w:rPr>
          <w:rFonts w:hint="eastAsia" w:ascii="方正仿宋_GBK" w:hAnsi="方正仿宋_GBK" w:eastAsia="方正仿宋_GBK" w:cs="方正仿宋_GBK"/>
          <w:sz w:val="32"/>
          <w:szCs w:val="24"/>
          <w:highlight w:val="none"/>
        </w:rPr>
        <w:t>（1）服务内容：</w:t>
      </w:r>
    </w:p>
    <w:p>
      <w:pPr>
        <w:keepNext w:val="0"/>
        <w:keepLines w:val="0"/>
        <w:pageBreakBefore w:val="0"/>
        <w:widowControl/>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方正仿宋_GBK" w:hAnsi="方正仿宋_GBK" w:eastAsia="方正仿宋_GBK" w:cs="方正仿宋_GBK"/>
          <w:sz w:val="32"/>
          <w:szCs w:val="24"/>
          <w:highlight w:val="none"/>
        </w:rPr>
      </w:pPr>
      <w:r>
        <w:rPr>
          <w:rFonts w:hint="eastAsia" w:ascii="方正仿宋_GBK" w:hAnsi="方正仿宋_GBK" w:eastAsia="方正仿宋_GBK" w:cs="方正仿宋_GBK"/>
          <w:sz w:val="32"/>
          <w:szCs w:val="24"/>
          <w:highlight w:val="none"/>
        </w:rPr>
        <w:t>1）岗位设置：医院建筑物外围、医院各出入口、房屋楼层、大楼大厅、监控</w:t>
      </w:r>
      <w:r>
        <w:rPr>
          <w:rFonts w:hint="eastAsia" w:ascii="方正仿宋_GBK" w:hAnsi="方正仿宋_GBK" w:eastAsia="方正仿宋_GBK" w:cs="方正仿宋_GBK"/>
          <w:sz w:val="32"/>
          <w:szCs w:val="24"/>
          <w:highlight w:val="none"/>
          <w:lang w:val="en-US" w:eastAsia="zh-CN"/>
        </w:rPr>
        <w:t>中心</w:t>
      </w:r>
      <w:r>
        <w:rPr>
          <w:rFonts w:hint="eastAsia" w:ascii="方正仿宋_GBK" w:hAnsi="方正仿宋_GBK" w:eastAsia="方正仿宋_GBK" w:cs="方正仿宋_GBK"/>
          <w:sz w:val="32"/>
          <w:szCs w:val="24"/>
          <w:highlight w:val="none"/>
        </w:rPr>
        <w:t>、停车场等。岗位的具体设置，根据医院的实际情况自行布岗。</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rPr>
      </w:pPr>
      <w:r>
        <w:rPr>
          <w:rFonts w:hint="eastAsia" w:ascii="方正仿宋_GBK" w:hAnsi="方正仿宋_GBK" w:eastAsia="方正仿宋_GBK" w:cs="方正仿宋_GBK"/>
          <w:sz w:val="32"/>
          <w:szCs w:val="24"/>
          <w:highlight w:val="none"/>
        </w:rPr>
        <w:t>2）治安防范</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a.在医院范围内24 小时巡逻（负责突发事件的处置、维护现场及报警）。</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①检查公共设施是否完好；</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②检查病人物品是否保管完好；</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③检查公共区域门窗、灯光、空调等是否关闭；</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④及时清理推销、派发广告资料、医托等不法人员，预防和制止小偷作案，发现作案要将小偷扭送公安机关。</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b.做好人员进出的控制、盘查工作，做好物品放行管理。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c.做好病人家属探视管理工作。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d.保障医院正常的治安及医疗秩序，发现治安不安全因素，及时有效地处理。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e.积极完成其他与后勤服务有关的突击性工作。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f.协助医院职能部门做好治安综合治理工作。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g.监控室、停车场（车库）24小时值班看守。</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h.遇到恶性治安事件（如斗殴，围攻、殴打采购人工作人员及在采购人院区内诊疗的病人和家属）应在5分钟内到达现场，并有效制止事态的发展，以保护采购人工作人员及病人和其家属的人身和财产安全。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（2)防火管理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1）消防中心值班人员必须按行业要求持证上岗，并做好如下：</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①消防中心24小时值班，有详细的值班记录；按监控室的规章制度落实岗位值班责任，有详细的值班记录。</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②熟悉消防中心设备操作规程和有关规定操作，做到安全操作，严防操作失误造成事故发生。</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③认真监控消防设备，发现异常或报警，及时通知管理员到报警点核实。如属火警迅速组织扑救和疏散；如属消防系统故障引发的误报要及时纠正处理并通知外委单位维护。</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④做好消防中心设备的清洁卫生，保持整洁、干净。</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⑤认真监控安防摄像系统及时发现防盗、治安及消防迹象，指挥巡逻管理员及时到达现场处理事件。</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⑥按消防“户籍化”管理规定填报消防设备巡查记录。</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⑦落实微型消防站管理制度（1、组织架构；2、规章制度及岗位职责；3 微型消防站训练制度；4、防爆消防装备交接班制度）</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⑧落实重点部位巡查制度及情况记录。</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2）检查消防隐患、定时检查消防箱、灭火器、应急灯、安全出口标志、消防门、警铃、烟感等消防设施是否完好。发现损坏、丢失、不符合使用要求及时通知相关人员处理；认真做好检查记录，每月报医院存档。</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3）负责组织每年的消防演习。</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4）定期对工作人员进行防火知识培训。（制定年度消防知识及技能的培训计划）（每年不少于一次），对全院工作人员进行消防知识及消防技能培训。</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5）协助医院监督外委单位（含保质期内施工单位和消防维保单位）维护消防设施、设备、保证正常运作。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6）制订可行的防火安全应急处理预案，发现火警要第一时间打119 火警电话报警和通知采购人主管部门负责人并按消防规定时间1分钟到场确认，3分钟内采取有效救火措施灭火。</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（3）交通、停车秩序管理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1）为医院停车场（库）科学、合理设置岗位。</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2）安排人员指挥车辆行驶。</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3）做好车辆检查登记以及车辆停放工作。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4）做好车辆的安全防范工作。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5）提醒司机做好贵重物品保管及车辆安全防范工作。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6）确保道路畅通、停车秩序良好，不得以无因管理造成停车混乱，车辆碰撞。</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3、安保服务人员</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具体如下：</w:t>
      </w:r>
    </w:p>
    <w:tbl>
      <w:tblPr>
        <w:tblStyle w:val="3"/>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815"/>
        <w:gridCol w:w="1878"/>
        <w:gridCol w:w="1984"/>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序号</w:t>
            </w:r>
          </w:p>
        </w:tc>
        <w:tc>
          <w:tcPr>
            <w:tcW w:w="181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项目名称</w:t>
            </w:r>
          </w:p>
        </w:tc>
        <w:tc>
          <w:tcPr>
            <w:tcW w:w="187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人数（人）</w:t>
            </w:r>
          </w:p>
        </w:tc>
        <w:tc>
          <w:tcPr>
            <w:tcW w:w="1984"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预算金额</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（万元）</w:t>
            </w:r>
          </w:p>
        </w:tc>
        <w:tc>
          <w:tcPr>
            <w:tcW w:w="225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1</w:t>
            </w:r>
          </w:p>
        </w:tc>
        <w:tc>
          <w:tcPr>
            <w:tcW w:w="181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安保服务</w:t>
            </w:r>
          </w:p>
        </w:tc>
        <w:tc>
          <w:tcPr>
            <w:tcW w:w="187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84</w:t>
            </w:r>
          </w:p>
        </w:tc>
        <w:tc>
          <w:tcPr>
            <w:tcW w:w="1984"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383.04</w:t>
            </w:r>
          </w:p>
        </w:tc>
        <w:tc>
          <w:tcPr>
            <w:tcW w:w="225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含崇雅路分院、土湖分院</w:t>
            </w:r>
          </w:p>
        </w:tc>
      </w:tr>
    </w:tbl>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szCs w:val="24"/>
          <w:highlight w:val="none"/>
          <w:lang w:val="en-US" w:eastAsia="zh-CN"/>
        </w:rPr>
      </w:pPr>
      <w:r>
        <w:rPr>
          <w:rFonts w:hint="eastAsia" w:ascii="方正楷体_GBK" w:hAnsi="方正楷体_GBK" w:eastAsia="方正楷体_GBK" w:cs="方正楷体_GBK"/>
          <w:sz w:val="32"/>
          <w:szCs w:val="24"/>
          <w:highlight w:val="none"/>
          <w:lang w:val="en-US" w:eastAsia="zh-CN"/>
        </w:rPr>
        <w:t>采购人关于以上服务费构成的情况说明:</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 xml:space="preserve">（1）服务费按包干制的形式，院方每月以中标单价乘以 </w:t>
      </w:r>
      <w:r>
        <w:rPr>
          <w:rFonts w:hint="eastAsia" w:ascii="方正仿宋_GBK" w:hAnsi="方正仿宋_GBK" w:eastAsia="方正仿宋_GBK" w:cs="方正仿宋_GBK"/>
          <w:sz w:val="32"/>
          <w:szCs w:val="24"/>
          <w:highlight w:val="none"/>
          <w:lang w:val="en-US" w:eastAsia="zh-CN"/>
        </w:rPr>
        <w:t>84</w:t>
      </w:r>
      <w:r>
        <w:rPr>
          <w:rFonts w:hint="default" w:ascii="方正仿宋_GBK" w:hAnsi="方正仿宋_GBK" w:eastAsia="方正仿宋_GBK" w:cs="方正仿宋_GBK"/>
          <w:sz w:val="32"/>
          <w:szCs w:val="24"/>
          <w:highlight w:val="none"/>
          <w:lang w:val="en-US" w:eastAsia="zh-CN"/>
        </w:rPr>
        <w:t>人计算支付当月服务费；期间如有实际发生增加临时机动岗（不含处置紧急情况时的应急增援），机动岗的服务费以实际使用</w:t>
      </w:r>
      <w:r>
        <w:rPr>
          <w:rFonts w:hint="eastAsia" w:ascii="方正仿宋_GBK" w:hAnsi="方正仿宋_GBK" w:eastAsia="方正仿宋_GBK" w:cs="方正仿宋_GBK"/>
          <w:sz w:val="32"/>
          <w:szCs w:val="24"/>
          <w:highlight w:val="none"/>
          <w:lang w:val="en-US" w:eastAsia="zh-CN"/>
        </w:rPr>
        <w:t>人</w:t>
      </w:r>
      <w:r>
        <w:rPr>
          <w:rFonts w:hint="default" w:ascii="方正仿宋_GBK" w:hAnsi="方正仿宋_GBK" w:eastAsia="方正仿宋_GBK" w:cs="方正仿宋_GBK"/>
          <w:sz w:val="32"/>
          <w:szCs w:val="24"/>
          <w:highlight w:val="none"/>
          <w:lang w:val="en-US" w:eastAsia="zh-CN"/>
        </w:rPr>
        <w:t>员数产生的实际执勤总时间，按中标单价以1人为计量单位计算实际发生增加的服务费，并在支付当月服务费时一起支付。</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（2）单价已含人工、装备、服装、通讯、税费、利润和节假日加班费等一切费用，院方不再另行支付其他费用。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3）服务费按月度结算，在次月15日前，由中标方每月向院方提供当月员工花名册、人员变动表、培训情况、等资料备案供院方核实，再者由院方完成对供应商的上月服务质量考评，并根据当期的考评综合得分，及队员是否发生扣款行为现象，确认实际支付的服务费，中标方提供税务部门规范的发票与甲方结算上个月的服务费。</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trike w:val="0"/>
          <w:dstrike w:val="0"/>
          <w:sz w:val="32"/>
          <w:szCs w:val="24"/>
          <w:highlight w:val="none"/>
          <w:lang w:val="en-US" w:eastAsia="zh-CN"/>
        </w:rPr>
      </w:pPr>
      <w:r>
        <w:rPr>
          <w:rFonts w:hint="default" w:ascii="方正仿宋_GBK" w:hAnsi="方正仿宋_GBK" w:eastAsia="方正仿宋_GBK" w:cs="方正仿宋_GBK"/>
          <w:strike w:val="0"/>
          <w:dstrike w:val="0"/>
          <w:sz w:val="32"/>
          <w:szCs w:val="24"/>
          <w:highlight w:val="none"/>
          <w:lang w:val="en-US" w:eastAsia="zh-CN"/>
        </w:rPr>
        <w:t>（4）公用水电（包括空调、清洁卫生、生活等各类用水；消防、水泵、照明、电梯、各类机电设备、中标人等外包服务公司办公等各类用电）费用由采购人承担。</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（5）采购人负责提供：</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a. 消防、监控设备设施配件及维修费；</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b. 交通门岗设备与维修费用；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c. 院内交通标识设施与维修费用。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（6）本项目服务期限内，医院免费向中标人提供在院内服务所需的办公用房。</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 xml:space="preserve">2.3 </w:t>
      </w:r>
      <w:r>
        <w:rPr>
          <w:rFonts w:hint="eastAsia" w:ascii="方正仿宋_GBK" w:hAnsi="方正仿宋_GBK" w:eastAsia="方正仿宋_GBK" w:cs="方正仿宋_GBK"/>
          <w:sz w:val="32"/>
          <w:szCs w:val="24"/>
          <w:highlight w:val="none"/>
          <w:lang w:val="en-US" w:eastAsia="zh-CN"/>
        </w:rPr>
        <w:t>安保服务</w:t>
      </w:r>
      <w:r>
        <w:rPr>
          <w:rFonts w:hint="default" w:ascii="方正仿宋_GBK" w:hAnsi="方正仿宋_GBK" w:eastAsia="方正仿宋_GBK" w:cs="方正仿宋_GBK"/>
          <w:sz w:val="32"/>
          <w:szCs w:val="24"/>
          <w:highlight w:val="none"/>
          <w:lang w:val="en-US" w:eastAsia="zh-CN"/>
        </w:rPr>
        <w:t>标准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（1）院区内无重大治安案件发生；</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（2）职工及患者的投诉处理率达100%；</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（3）人员专业培训合格率100%；</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（4）采购人本单位职工及就诊病人对服务满意度评价达95%以上；</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（5）无因管理不到位造成的治安案件和恶意破坏事件；</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（6）接到消防中心报警，管理员应在3分钟内到达烟感警报点核实情况，如属火警迅速组织扑救和疏散；</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（7）无因管理不到位造成的火灾事故，火灾发生率0；消防设施完好100％。</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（8）接到火警以外的突发事件报警应不超过3 分钟赶到现场。</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（9）维护医院治安、消防安全工作，打击医托、医闹，如有无理取闹者，可报警处理维护医护人员的人身安全及医院正常工作秩序。</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2.4 人员要求</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（1）平均年龄在18周岁到</w:t>
      </w:r>
      <w:r>
        <w:rPr>
          <w:rFonts w:hint="eastAsia" w:ascii="方正仿宋_GBK" w:hAnsi="方正仿宋_GBK" w:eastAsia="方正仿宋_GBK" w:cs="方正仿宋_GBK"/>
          <w:sz w:val="32"/>
          <w:szCs w:val="24"/>
          <w:highlight w:val="none"/>
          <w:lang w:val="en-US" w:eastAsia="zh-CN"/>
        </w:rPr>
        <w:t>60</w:t>
      </w:r>
      <w:r>
        <w:rPr>
          <w:rFonts w:hint="default" w:ascii="方正仿宋_GBK" w:hAnsi="方正仿宋_GBK" w:eastAsia="方正仿宋_GBK" w:cs="方正仿宋_GBK"/>
          <w:sz w:val="32"/>
          <w:szCs w:val="24"/>
          <w:highlight w:val="none"/>
          <w:lang w:val="en-US" w:eastAsia="zh-CN"/>
        </w:rPr>
        <w:t>周岁之间，初中以上学历。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（2）身体健康，品行良好，无犯罪记录。</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（3）武警、消防及退伍军人优先考虑。</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（4）人员劳动关系隶属于供应商，人员招聘由供应商负责和把关，具体业务、工作安排及人员管理由供应商按院方的要求负责实施，日常安保服务的管理考核由医院后勤保障部负责。</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2.5 装备要求</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1）全体保安人员须配备统一制式服装及包括但不仅限于武装带、塑料警棍等基本的保安必要装备；保证在岗人员人手一部对讲机，同时提供两部对讲机予院方保卫室使用；晚班岗位人员人手配备一支强光手电筒；服务院方期间如医院的相关主管部门对保安人员有其他装备的配备要求，供应商须无条件按相关要求配齐。</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（2）进驻医院时7个工作日内须配备不低于两套防爆设备（防爆盾牌、腰叉及脚叉、防爆头盔）放置医院警务室。</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2.6 执勤纪律和行为准则要求</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（1）仪表整洁、言行举止得体：</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①当班人员要求仪容整洁，按规定着装统一，不得留长发蓄胡须。</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②当班期间不得嬉戏打闹、高声喧哗，不得擅离岗位、睡岗或串岗聊天。</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③不得酒后上岗，当班期间不得吸烟、喝酒、吃零食、玩手机、看书报等，不得使用对讲机闲聊。</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（2）文明执勤，互相尊重，为病患及其家属等人员提供人性化服务：</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①当班期间对医院员工、队员之间及各种人员要互相尊重，不得使用不文明语言，对患者及家属要热情、耐心，积极帮助病人解决实际问题，并提供必要的能提供的人性化服务，如解答病人询问、帮助行动不便的病人上下车、雨天帮病人撑伞等。</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②服从医院的工作安排，在工作中自觉接受医院后勤科</w:t>
      </w:r>
      <w:r>
        <w:rPr>
          <w:rFonts w:hint="eastAsia" w:ascii="方正仿宋_GBK" w:hAnsi="方正仿宋_GBK" w:eastAsia="方正仿宋_GBK" w:cs="方正仿宋_GBK"/>
          <w:sz w:val="32"/>
          <w:szCs w:val="24"/>
          <w:highlight w:val="none"/>
          <w:lang w:val="en-US" w:eastAsia="zh-CN"/>
        </w:rPr>
        <w:t>保卫</w:t>
      </w:r>
      <w:r>
        <w:rPr>
          <w:rFonts w:hint="default" w:ascii="方正仿宋_GBK" w:hAnsi="方正仿宋_GBK" w:eastAsia="方正仿宋_GBK" w:cs="方正仿宋_GBK"/>
          <w:sz w:val="32"/>
          <w:szCs w:val="24"/>
          <w:highlight w:val="none"/>
          <w:lang w:val="en-US" w:eastAsia="zh-CN"/>
        </w:rPr>
        <w:t>室的检查、监督、指导，对违规、渎职、责任心不强的保安员，医院有权提出调换，供应商应及时更换医院提出的不称职的保安员，队长和班长须保持电话24小时畅通。</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③每月向院方提供当月员工花名册、人员变动表、服务质量监管情况、存在问题整改情况、培训情况、等资料备案。</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④甲方考核不合格或不满意的管理人员或员工，乙方经培训，仍不适合岗位要求，一周内更换合适人选。更换管理人员需经甲方主管部门同意。</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（3）遵规守法，依规执勤：</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①遵守国家法令法规，依法办事，遵守医院各项规章制度，不得损害或企图损害医院利益，不得利用工作之便盗窃医院物品或患者财物，爱护医院设施和执勤用品。</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②严格执行考勤和交接班制度，按规定时间实行在岗交接班，交班人员应告知本班发生的情况和处理结果，并交代需继续办理事项， 接班者未到或未办理交接班手续，当班者不能离开岗位。</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2.7 培训和演练</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每半个月至少一次在医院内集中队员进行队列、消防、防暴等有针对性的体能和技能方面的培训。每年至少组织一次消防及防爆防医闹演练。</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2.8 其他说明</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（1）</w:t>
      </w:r>
      <w:r>
        <w:rPr>
          <w:rFonts w:hint="eastAsia" w:ascii="方正仿宋_GBK" w:hAnsi="方正仿宋_GBK" w:eastAsia="方正仿宋_GBK" w:cs="方正仿宋_GBK"/>
          <w:sz w:val="32"/>
          <w:szCs w:val="24"/>
          <w:highlight w:val="none"/>
          <w:lang w:val="en-US" w:eastAsia="zh-CN"/>
        </w:rPr>
        <w:t>安保服务</w:t>
      </w:r>
      <w:r>
        <w:rPr>
          <w:rFonts w:hint="default" w:ascii="方正仿宋_GBK" w:hAnsi="方正仿宋_GBK" w:eastAsia="方正仿宋_GBK" w:cs="方正仿宋_GBK"/>
          <w:sz w:val="32"/>
          <w:szCs w:val="24"/>
          <w:highlight w:val="none"/>
          <w:lang w:val="en-US" w:eastAsia="zh-CN"/>
        </w:rPr>
        <w:t>范围只限于惠州市</w:t>
      </w:r>
      <w:r>
        <w:rPr>
          <w:rFonts w:hint="eastAsia" w:ascii="方正仿宋_GBK" w:hAnsi="方正仿宋_GBK" w:eastAsia="方正仿宋_GBK" w:cs="方正仿宋_GBK"/>
          <w:sz w:val="32"/>
          <w:szCs w:val="24"/>
          <w:highlight w:val="none"/>
          <w:lang w:val="en-US" w:eastAsia="zh-CN"/>
        </w:rPr>
        <w:t>第六</w:t>
      </w:r>
      <w:r>
        <w:rPr>
          <w:rFonts w:hint="default" w:ascii="方正仿宋_GBK" w:hAnsi="方正仿宋_GBK" w:eastAsia="方正仿宋_GBK" w:cs="方正仿宋_GBK"/>
          <w:sz w:val="32"/>
          <w:szCs w:val="24"/>
          <w:highlight w:val="none"/>
          <w:lang w:val="en-US" w:eastAsia="zh-CN"/>
        </w:rPr>
        <w:t>人民医院</w:t>
      </w:r>
      <w:r>
        <w:rPr>
          <w:rFonts w:hint="eastAsia" w:ascii="方正仿宋_GBK" w:hAnsi="方正仿宋_GBK" w:eastAsia="方正仿宋_GBK" w:cs="方正仿宋_GBK"/>
          <w:sz w:val="32"/>
          <w:szCs w:val="24"/>
          <w:highlight w:val="none"/>
          <w:lang w:val="en-US" w:eastAsia="zh-CN"/>
        </w:rPr>
        <w:t>（院本部、崇雅路分院、土湖分院）</w:t>
      </w:r>
      <w:r>
        <w:rPr>
          <w:rFonts w:hint="default" w:ascii="方正仿宋_GBK" w:hAnsi="方正仿宋_GBK" w:eastAsia="方正仿宋_GBK" w:cs="方正仿宋_GBK"/>
          <w:sz w:val="32"/>
          <w:szCs w:val="24"/>
          <w:highlight w:val="none"/>
          <w:lang w:val="en-US" w:eastAsia="zh-CN"/>
        </w:rPr>
        <w:t>范围内。</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w:t>
      </w:r>
      <w:r>
        <w:rPr>
          <w:rFonts w:hint="eastAsia" w:ascii="方正仿宋_GBK" w:hAnsi="方正仿宋_GBK" w:eastAsia="方正仿宋_GBK" w:cs="方正仿宋_GBK"/>
          <w:sz w:val="32"/>
          <w:szCs w:val="24"/>
          <w:highlight w:val="none"/>
          <w:lang w:val="en-US" w:eastAsia="zh-CN"/>
        </w:rPr>
        <w:t>安保服务</w:t>
      </w:r>
      <w:r>
        <w:rPr>
          <w:rFonts w:hint="default" w:ascii="方正仿宋_GBK" w:hAnsi="方正仿宋_GBK" w:eastAsia="方正仿宋_GBK" w:cs="方正仿宋_GBK"/>
          <w:sz w:val="32"/>
          <w:szCs w:val="24"/>
          <w:highlight w:val="none"/>
          <w:lang w:val="en-US" w:eastAsia="zh-CN"/>
        </w:rPr>
        <w:t>包括但不限于以上计划书中服务所规定的区域及内容，有单独列明的不负责有区域除外。</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（3）对于科室驻守人员的更换，必须提前一周告知科室护士长，专业培训合格方可上岗。</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D9E0E"/>
    <w:multiLevelType w:val="singleLevel"/>
    <w:tmpl w:val="E36D9E0E"/>
    <w:lvl w:ilvl="0" w:tentative="0">
      <w:start w:val="2"/>
      <w:numFmt w:val="decimal"/>
      <w:suff w:val="nothing"/>
      <w:lvlText w:val="（%1）"/>
      <w:lvlJc w:val="left"/>
    </w:lvl>
  </w:abstractNum>
  <w:abstractNum w:abstractNumId="1">
    <w:nsid w:val="3EBAD172"/>
    <w:multiLevelType w:val="singleLevel"/>
    <w:tmpl w:val="3EBAD172"/>
    <w:lvl w:ilvl="0" w:tentative="0">
      <w:start w:val="2"/>
      <w:numFmt w:val="decimal"/>
      <w:suff w:val="nothing"/>
      <w:lvlText w:val="%1、"/>
      <w:lvlJc w:val="left"/>
    </w:lvl>
  </w:abstractNum>
  <w:abstractNum w:abstractNumId="2">
    <w:nsid w:val="4B6DA767"/>
    <w:multiLevelType w:val="singleLevel"/>
    <w:tmpl w:val="4B6DA767"/>
    <w:lvl w:ilvl="0" w:tentative="0">
      <w:start w:val="2"/>
      <w:numFmt w:val="decimal"/>
      <w:lvlText w:val="%1."/>
      <w:lvlJc w:val="left"/>
      <w:pPr>
        <w:tabs>
          <w:tab w:val="left" w:pos="312"/>
        </w:tabs>
      </w:pPr>
    </w:lvl>
  </w:abstractNum>
  <w:abstractNum w:abstractNumId="3">
    <w:nsid w:val="5AA11E89"/>
    <w:multiLevelType w:val="singleLevel"/>
    <w:tmpl w:val="5AA11E89"/>
    <w:lvl w:ilvl="0" w:tentative="0">
      <w:start w:val="2"/>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lMGY1M2FiZTY4NGUwODE0YWVhNThhMDVkNGY1MTMifQ=="/>
  </w:docVars>
  <w:rsids>
    <w:rsidRoot w:val="00172A27"/>
    <w:rsid w:val="09302B4D"/>
    <w:rsid w:val="0B6A33D4"/>
    <w:rsid w:val="0C6E1372"/>
    <w:rsid w:val="0EDC03A2"/>
    <w:rsid w:val="21F62BCB"/>
    <w:rsid w:val="22FF5069"/>
    <w:rsid w:val="25FC0B02"/>
    <w:rsid w:val="26D652C7"/>
    <w:rsid w:val="2BBD2276"/>
    <w:rsid w:val="2D8B1995"/>
    <w:rsid w:val="2F416C63"/>
    <w:rsid w:val="33E13BFA"/>
    <w:rsid w:val="353C19E1"/>
    <w:rsid w:val="36CC4CC3"/>
    <w:rsid w:val="400C6C81"/>
    <w:rsid w:val="40825072"/>
    <w:rsid w:val="45A67BD4"/>
    <w:rsid w:val="49177255"/>
    <w:rsid w:val="4E880D50"/>
    <w:rsid w:val="4E8B0D8E"/>
    <w:rsid w:val="511849BF"/>
    <w:rsid w:val="51527C4B"/>
    <w:rsid w:val="5A9F7B92"/>
    <w:rsid w:val="5CFB3262"/>
    <w:rsid w:val="5E47035C"/>
    <w:rsid w:val="61727E27"/>
    <w:rsid w:val="62CB7A8B"/>
    <w:rsid w:val="682F4970"/>
    <w:rsid w:val="6B1E799A"/>
    <w:rsid w:val="6DF07D4A"/>
    <w:rsid w:val="70517155"/>
    <w:rsid w:val="709E3A43"/>
    <w:rsid w:val="71002A0C"/>
    <w:rsid w:val="711A4925"/>
    <w:rsid w:val="73875311"/>
    <w:rsid w:val="75AD3A57"/>
    <w:rsid w:val="77FC6533"/>
    <w:rsid w:val="78635440"/>
    <w:rsid w:val="79AB5AAD"/>
    <w:rsid w:val="79B72F32"/>
    <w:rsid w:val="7A163A0F"/>
    <w:rsid w:val="7B1462EB"/>
    <w:rsid w:val="7B5A7174"/>
    <w:rsid w:val="7EA0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5381</Words>
  <Characters>5570</Characters>
  <Lines>0</Lines>
  <Paragraphs>0</Paragraphs>
  <TotalTime>51</TotalTime>
  <ScaleCrop>false</ScaleCrop>
  <LinksUpToDate>false</LinksUpToDate>
  <CharactersWithSpaces>5599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2022-06-24T02:37:00Z</dcterms:created>
  <dc:creator>pc</dc:creator>
  <cp:lastModifiedBy>HoNg1418038798</cp:lastModifiedBy>
  <dcterms:modified xsi:type="dcterms:W3CDTF">2022-07-29T09:37:08Z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0F4D157CEBCA46E88899DF362BAAE9A7</vt:lpwstr>
  </property>
</Properties>
</file>