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lang w:val="en-US" w:eastAsia="zh-CN" w:bidi="ar-SA"/>
        </w:rPr>
      </w:pPr>
      <w:r>
        <w:rPr>
          <w:rFonts w:hint="eastAsia" w:ascii="方正仿宋_GBK" w:hAnsi="方正仿宋_GBK" w:eastAsia="方正仿宋_GBK" w:cs="方正仿宋_GBK"/>
          <w:b w:val="0"/>
          <w:bCs/>
          <w:kern w:val="2"/>
          <w:sz w:val="44"/>
          <w:szCs w:val="44"/>
          <w:u w:val="single"/>
          <w:lang w:val="en-US" w:eastAsia="zh-CN" w:bidi="ar-SA"/>
        </w:rPr>
        <w:t>2024年度综合布线系统安装及服务</w:t>
      </w:r>
      <w:r>
        <w:rPr>
          <w:rFonts w:hint="eastAsia" w:ascii="方正仿宋_GBK" w:hAnsi="方正仿宋_GBK" w:eastAsia="方正仿宋_GBK" w:cs="方正仿宋_GBK"/>
          <w:b w:val="0"/>
          <w:bCs/>
          <w:kern w:val="2"/>
          <w:sz w:val="44"/>
          <w:szCs w:val="44"/>
          <w:lang w:val="en-US" w:eastAsia="zh-CN" w:bidi="ar-SA"/>
        </w:rPr>
        <w:t>采购项目需求书</w:t>
      </w:r>
    </w:p>
    <w:p>
      <w:pPr>
        <w:rPr>
          <w:rFonts w:hint="eastAsia"/>
        </w:rPr>
      </w:pP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b/>
          <w:sz w:val="32"/>
          <w:szCs w:val="32"/>
          <w:highlight w:val="none"/>
          <w:lang w:eastAsia="zh-CN"/>
        </w:rPr>
        <w:t>2024年度综合布线系统安装及服务</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eastAsia="zh-CN"/>
        </w:rPr>
      </w:pPr>
      <w:r>
        <w:rPr>
          <w:rFonts w:hint="eastAsia" w:ascii="方正黑体_GBK" w:hAnsi="方正黑体_GBK" w:eastAsia="方正黑体_GBK" w:cs="方正黑体_GBK"/>
          <w:b w:val="0"/>
          <w:bCs/>
          <w:kern w:val="2"/>
          <w:sz w:val="32"/>
          <w:szCs w:val="32"/>
          <w:lang w:val="en-US" w:eastAsia="zh-CN" w:bidi="ar-SA"/>
        </w:rPr>
        <w:t>（二）采购项目需求一览表</w:t>
      </w:r>
    </w:p>
    <w:tbl>
      <w:tblPr>
        <w:tblStyle w:val="10"/>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46"/>
        <w:gridCol w:w="3492"/>
        <w:gridCol w:w="961"/>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5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194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493"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961"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192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5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94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宋体"/>
                <w:sz w:val="24"/>
                <w:szCs w:val="24"/>
                <w:lang w:val="en-US" w:eastAsia="zh-CN"/>
              </w:rPr>
              <w:t>综合布线系统安装及服务</w:t>
            </w:r>
          </w:p>
        </w:tc>
        <w:tc>
          <w:tcPr>
            <w:tcW w:w="3493"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全院布线系统安装及调试（不含监控）</w:t>
            </w:r>
          </w:p>
        </w:tc>
        <w:tc>
          <w:tcPr>
            <w:tcW w:w="961"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1年</w:t>
            </w:r>
          </w:p>
        </w:tc>
        <w:tc>
          <w:tcPr>
            <w:tcW w:w="192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0" w:name="_Toc26817945"/>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sectPr>
          <w:pgSz w:w="11905" w:h="16838"/>
          <w:pgMar w:top="2041" w:right="1587" w:bottom="1701" w:left="1587" w:header="850" w:footer="850" w:gutter="0"/>
          <w:cols w:space="720" w:num="1"/>
        </w:sectPr>
      </w:pP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en-US" w:eastAsia="zh-CN" w:bidi="ar-SA"/>
        </w:rPr>
        <w:t>（二）</w:t>
      </w:r>
      <w:r>
        <w:rPr>
          <w:rFonts w:hint="eastAsia" w:ascii="方正黑体_GBK" w:hAnsi="方正黑体_GBK" w:eastAsia="方正黑体_GBK" w:cs="方正黑体_GBK"/>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lang w:val="en-US" w:eastAsia="zh-CN"/>
        </w:rPr>
        <w:t>1年</w:t>
      </w:r>
      <w:r>
        <w:rPr>
          <w:rFonts w:hint="eastAsia" w:ascii="方正仿宋_GBK" w:hAnsi="方正仿宋_GBK" w:eastAsia="方正仿宋_GBK" w:cs="方正仿宋_GBK"/>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48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hr-HR" w:eastAsia="zh-CN" w:bidi="ar-SA"/>
        </w:rPr>
        <w:t>服务要求：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针对我院网络信息点位变化需求（如新增信息点位、原有信息点位挪位、信息点位数据传输故障的修复等需求），采用购买服务方式，由供应商提供信息点位服务所需材料（光纤、网线、水晶头、网络面板、网络模块、管材等）及劳务（如开槽及回填、布线、安装及人工等），按需采购。</w:t>
      </w:r>
    </w:p>
    <w:p>
      <w:pPr>
        <w:keepNext w:val="0"/>
        <w:keepLines w:val="0"/>
        <w:pageBreakBefore w:val="0"/>
        <w:kinsoku/>
        <w:wordWrap/>
        <w:overflowPunct/>
        <w:topLinePunct w:val="0"/>
        <w:bidi w:val="0"/>
        <w:spacing w:after="0" w:line="580" w:lineRule="exact"/>
        <w:ind w:firstLine="320" w:firstLineChars="1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1.需求科室提出服务请示单，经信息部同意，给出服务派工单。</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2.服务单位就派工单内容进行综合评估，根据实际情况，列出此项零星服务所需物料及服务内容，报信息部审核同意后，方可实施服务。</w:t>
      </w:r>
    </w:p>
    <w:p>
      <w:pPr>
        <w:keepNext w:val="0"/>
        <w:keepLines w:val="0"/>
        <w:pageBreakBefore w:val="0"/>
        <w:kinsoku/>
        <w:wordWrap/>
        <w:overflowPunct/>
        <w:topLinePunct w:val="0"/>
        <w:bidi w:val="0"/>
        <w:spacing w:after="0" w:line="580" w:lineRule="exact"/>
        <w:ind w:firstLine="48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3.服务过程中应采用防尘、低噪、环保施工措施，不得影响业务科室正常工作。</w:t>
      </w:r>
    </w:p>
    <w:p>
      <w:pPr>
        <w:keepNext w:val="0"/>
        <w:keepLines w:val="0"/>
        <w:pageBreakBefore w:val="0"/>
        <w:numPr>
          <w:numId w:val="0"/>
        </w:numPr>
        <w:kinsoku/>
        <w:wordWrap/>
        <w:overflowPunct/>
        <w:topLinePunct w:val="0"/>
        <w:bidi w:val="0"/>
        <w:spacing w:after="0" w:line="580" w:lineRule="exact"/>
        <w:jc w:val="both"/>
        <w:textAlignment w:val="auto"/>
        <w:rPr>
          <w:rFonts w:hint="default" w:ascii="方正黑体_GBK" w:hAnsi="方正黑体_GBK" w:eastAsia="方正黑体_GBK" w:cs="方正黑体_GBK"/>
          <w:b w:val="0"/>
          <w:bCs/>
          <w:kern w:val="2"/>
          <w:sz w:val="32"/>
          <w:szCs w:val="32"/>
          <w:lang w:val="en-US" w:eastAsia="zh-CN" w:bidi="ar-SA"/>
        </w:rPr>
      </w:pP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（四）服务地点：</w:t>
      </w:r>
      <w:r>
        <w:rPr>
          <w:rFonts w:hint="eastAsia" w:ascii="方正仿宋_GBK" w:hAnsi="方正仿宋_GBK" w:eastAsia="方正仿宋_GBK" w:cs="方正仿宋_GBK"/>
          <w:b w:val="0"/>
          <w:bCs/>
          <w:kern w:val="2"/>
          <w:sz w:val="32"/>
          <w:szCs w:val="32"/>
          <w:lang w:val="en-US" w:eastAsia="zh-CN" w:bidi="ar-SA"/>
        </w:rPr>
        <w:t>惠州市第六人民医院</w:t>
      </w:r>
    </w:p>
    <w:p>
      <w:pPr>
        <w:keepNext w:val="0"/>
        <w:keepLines w:val="0"/>
        <w:pageBreakBefore w:val="0"/>
        <w:kinsoku/>
        <w:wordWrap/>
        <w:overflowPunct/>
        <w:topLinePunct w:val="0"/>
        <w:bidi w:val="0"/>
        <w:spacing w:after="0" w:line="580" w:lineRule="exact"/>
        <w:ind w:firstLine="665" w:firstLineChars="208"/>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（五）结算方式：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需求确认后，按实际工作量计算，每月</w:t>
      </w:r>
      <w:r>
        <w:rPr>
          <w:rFonts w:hint="eastAsia" w:ascii="方正仿宋_GBK" w:hAnsi="方正仿宋_GBK" w:eastAsia="方正仿宋_GBK" w:cs="方正仿宋_GBK"/>
          <w:sz w:val="32"/>
          <w:szCs w:val="32"/>
          <w:lang w:val="en-US" w:eastAsia="zh-CN"/>
        </w:rPr>
        <w:t>5号前供应商提供发票结算上一个自然月费用。</w:t>
      </w:r>
      <w:bookmarkStart w:id="1" w:name="_GoBack"/>
      <w:bookmarkEnd w:id="1"/>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9CE504E-4417-4005-BDF0-ED601D87C344}"/>
  </w:font>
  <w:font w:name="微软雅黑">
    <w:panose1 w:val="020B0503020204020204"/>
    <w:charset w:val="86"/>
    <w:family w:val="swiss"/>
    <w:pitch w:val="default"/>
    <w:sig w:usb0="80000287" w:usb1="2ACF3C50" w:usb2="00000016" w:usb3="00000000" w:csb0="0004001F" w:csb1="00000000"/>
    <w:embedRegular r:id="rId2" w:fontKey="{1B552EE5-801E-488E-AF98-779778D8D85D}"/>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C0EDA9F4-23CF-4A6A-B46A-76C094089E6D}"/>
  </w:font>
  <w:font w:name="方正黑体_GBK">
    <w:panose1 w:val="02000000000000000000"/>
    <w:charset w:val="86"/>
    <w:family w:val="auto"/>
    <w:pitch w:val="default"/>
    <w:sig w:usb0="A00002BF" w:usb1="38CF7CFA" w:usb2="00082016" w:usb3="00000000" w:csb0="00040001" w:csb1="00000000"/>
    <w:embedRegular r:id="rId4" w:fontKey="{15363EC6-04AF-42DD-A5B1-CEBCC6B9B7F9}"/>
  </w:font>
  <w:font w:name="仿宋">
    <w:panose1 w:val="02010609060101010101"/>
    <w:charset w:val="86"/>
    <w:family w:val="auto"/>
    <w:pitch w:val="default"/>
    <w:sig w:usb0="800002BF" w:usb1="38CF7CFA" w:usb2="00000016" w:usb3="00000000" w:csb0="00040001" w:csb1="00000000"/>
    <w:embedRegular r:id="rId5" w:fontKey="{5964B879-19F0-455F-B3C7-FCEF800E32C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F9F1"/>
    <w:multiLevelType w:val="singleLevel"/>
    <w:tmpl w:val="8122F9F1"/>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087868B9"/>
    <w:rsid w:val="32BD18A3"/>
    <w:rsid w:val="364C46C9"/>
    <w:rsid w:val="492A23F4"/>
    <w:rsid w:val="5BB90387"/>
    <w:rsid w:val="639C03E7"/>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semiHidden/>
    <w:unhideWhenUsed/>
    <w:qFormat/>
    <w:uiPriority w:val="35"/>
    <w:rPr>
      <w:rFonts w:eastAsia="黑体" w:asciiTheme="majorHAnsi" w:hAnsiTheme="majorHAnsi" w:cstheme="majorBidi"/>
      <w:sz w:val="20"/>
      <w:szCs w:val="20"/>
    </w:r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link w:val="18"/>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semiHidden/>
    <w:qFormat/>
    <w:uiPriority w:val="99"/>
    <w:rPr>
      <w:rFonts w:ascii="Tahoma" w:hAnsi="Tahoma"/>
      <w:sz w:val="18"/>
      <w:szCs w:val="18"/>
    </w:rPr>
  </w:style>
  <w:style w:type="character" w:customStyle="1" w:styleId="13">
    <w:name w:val="页脚 字符"/>
    <w:basedOn w:val="11"/>
    <w:link w:val="8"/>
    <w:semiHidden/>
    <w:qFormat/>
    <w:uiPriority w:val="99"/>
    <w:rPr>
      <w:rFonts w:ascii="Tahoma" w:hAnsi="Tahoma"/>
      <w:sz w:val="18"/>
      <w:szCs w:val="18"/>
    </w:rPr>
  </w:style>
  <w:style w:type="character" w:customStyle="1" w:styleId="14">
    <w:name w:val="z正文 Char Char"/>
    <w:link w:val="15"/>
    <w:qFormat/>
    <w:uiPriority w:val="0"/>
    <w:rPr>
      <w:rFonts w:eastAsia="仿宋_GB2312" w:cs="宋体"/>
      <w:kern w:val="2"/>
      <w:sz w:val="28"/>
    </w:rPr>
  </w:style>
  <w:style w:type="paragraph" w:customStyle="1" w:styleId="15">
    <w:name w:val="z正文"/>
    <w:basedOn w:val="1"/>
    <w:link w:val="14"/>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qFormat/>
    <w:uiPriority w:val="0"/>
    <w:rPr>
      <w:rFonts w:ascii="宋体" w:eastAsia="宋体" w:cs="Courier New"/>
      <w:kern w:val="2"/>
      <w:sz w:val="21"/>
      <w:szCs w:val="21"/>
    </w:rPr>
  </w:style>
  <w:style w:type="character" w:customStyle="1" w:styleId="17">
    <w:name w:val="纯文本 Char1"/>
    <w:basedOn w:val="11"/>
    <w:semiHidden/>
    <w:qFormat/>
    <w:uiPriority w:val="99"/>
    <w:rPr>
      <w:rFonts w:ascii="宋体" w:hAnsi="Courier New" w:eastAsia="宋体" w:cs="Courier New"/>
      <w:sz w:val="21"/>
      <w:szCs w:val="21"/>
    </w:rPr>
  </w:style>
  <w:style w:type="character" w:customStyle="1" w:styleId="18">
    <w:name w:val="正文文本 字符"/>
    <w:basedOn w:val="11"/>
    <w:link w:val="5"/>
    <w:qFormat/>
    <w:uiPriority w:val="0"/>
    <w:rPr>
      <w:rFonts w:ascii="宋体" w:hAnsi="宋体" w:eastAsia="宋体" w:cs="宋体"/>
      <w:sz w:val="24"/>
      <w:szCs w:val="24"/>
      <w:lang w:val="zh-CN" w:bidi="zh-CN"/>
    </w:rPr>
  </w:style>
  <w:style w:type="character" w:customStyle="1" w:styleId="19">
    <w:name w:val="文档结构图 字符"/>
    <w:basedOn w:val="11"/>
    <w:link w:val="4"/>
    <w:semiHidden/>
    <w:qFormat/>
    <w:uiPriority w:val="99"/>
    <w:rPr>
      <w:rFonts w:ascii="宋体" w:hAnsi="Tahoma" w:eastAsia="宋体"/>
      <w:sz w:val="18"/>
      <w:szCs w:val="18"/>
    </w:rPr>
  </w:style>
  <w:style w:type="character" w:customStyle="1" w:styleId="20">
    <w:name w:val="正文缩进 字符"/>
    <w:link w:val="2"/>
    <w:qFormat/>
    <w:uiPriority w:val="0"/>
    <w:rPr>
      <w:rFonts w:eastAsia="宋体"/>
      <w:kern w:val="2"/>
      <w:sz w:val="21"/>
      <w:szCs w:val="24"/>
    </w:rPr>
  </w:style>
  <w:style w:type="paragraph" w:customStyle="1" w:styleId="21">
    <w:name w:val="表头"/>
    <w:basedOn w:val="3"/>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qFormat/>
    <w:uiPriority w:val="99"/>
    <w:rPr>
      <w:rFonts w:ascii="宋体" w:hAnsi="Courier New"/>
      <w:kern w:val="2"/>
      <w:sz w:val="24"/>
    </w:rPr>
  </w:style>
  <w:style w:type="character" w:customStyle="1" w:styleId="23">
    <w:name w:val="批注框文本 字符"/>
    <w:basedOn w:val="11"/>
    <w:link w:val="7"/>
    <w:semiHidden/>
    <w:qFormat/>
    <w:uiPriority w:val="99"/>
    <w:rPr>
      <w:rFonts w:ascii="Tahoma" w:hAnsi="Tahoma"/>
      <w:sz w:val="18"/>
      <w:szCs w:val="18"/>
    </w:rPr>
  </w:style>
  <w:style w:type="paragraph" w:customStyle="1" w:styleId="24">
    <w:name w:val="Revision"/>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6</TotalTime>
  <ScaleCrop>false</ScaleCrop>
  <LinksUpToDate>false</LinksUpToDate>
  <CharactersWithSpaces>706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2023-12-09T01:13:50Z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1243AF1C9DB14587AE74970414027FBD_13</vt:lpwstr>
  </property>
</Properties>
</file>