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bidi w:val="0"/>
        <w:adjustRightInd w:val="0"/>
        <w:snapToGrid w:val="0"/>
        <w:spacing w:line="580" w:lineRule="exact"/>
        <w:ind w:firstLine="880" w:firstLineChars="200"/>
        <w:jc w:val="center"/>
        <w:textAlignment w:val="auto"/>
        <w:outlineLvl w:val="1"/>
        <w:rPr>
          <w:rFonts w:hint="eastAsia" w:ascii="方正仿宋_GBK" w:hAnsi="方正仿宋_GBK" w:eastAsia="方正仿宋_GBK" w:cs="方正仿宋_GBK"/>
          <w:b w:val="0"/>
          <w:bCs/>
          <w:kern w:val="2"/>
          <w:sz w:val="44"/>
          <w:szCs w:val="44"/>
          <w:lang w:val="en-US" w:eastAsia="zh-CN" w:bidi="ar-SA"/>
        </w:rPr>
      </w:pPr>
      <w:r>
        <w:rPr>
          <w:rFonts w:hint="eastAsia" w:ascii="方正仿宋_GBK" w:hAnsi="方正仿宋_GBK" w:eastAsia="方正仿宋_GBK" w:cs="方正仿宋_GBK"/>
          <w:b w:val="0"/>
          <w:bCs/>
          <w:kern w:val="2"/>
          <w:sz w:val="44"/>
          <w:szCs w:val="44"/>
          <w:u w:val="single"/>
          <w:lang w:val="en-US" w:eastAsia="zh-CN" w:bidi="ar-SA"/>
        </w:rPr>
        <w:t>HIS系统功能开发及接口改造服务</w:t>
      </w:r>
      <w:r>
        <w:rPr>
          <w:rFonts w:hint="eastAsia" w:ascii="方正仿宋_GBK" w:hAnsi="方正仿宋_GBK" w:eastAsia="方正仿宋_GBK" w:cs="方正仿宋_GBK"/>
          <w:b w:val="0"/>
          <w:bCs/>
          <w:kern w:val="2"/>
          <w:sz w:val="44"/>
          <w:szCs w:val="44"/>
          <w:lang w:val="en-US" w:eastAsia="zh-CN" w:bidi="ar-SA"/>
        </w:rPr>
        <w:t>采购项目需求书</w:t>
      </w:r>
    </w:p>
    <w:p>
      <w:pPr>
        <w:rPr>
          <w:rFonts w:hint="eastAsia"/>
        </w:rPr>
      </w:pP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一、采购项目技术要求</w:t>
      </w:r>
    </w:p>
    <w:p>
      <w:pPr>
        <w:pStyle w:val="6"/>
        <w:keepNext w:val="0"/>
        <w:keepLines w:val="0"/>
        <w:pageBreakBefore w:val="0"/>
        <w:kinsoku/>
        <w:wordWrap/>
        <w:overflowPunct/>
        <w:topLinePunct w:val="0"/>
        <w:bidi w:val="0"/>
        <w:adjustRightInd w:val="0"/>
        <w:snapToGrid w:val="0"/>
        <w:spacing w:line="580" w:lineRule="exact"/>
        <w:ind w:firstLine="640" w:firstLineChars="200"/>
        <w:jc w:val="both"/>
        <w:textAlignment w:val="auto"/>
        <w:outlineLvl w:val="1"/>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（一）项目概况</w:t>
      </w:r>
    </w:p>
    <w:p>
      <w:pPr>
        <w:pStyle w:val="6"/>
        <w:keepNext w:val="0"/>
        <w:keepLines w:val="0"/>
        <w:pageBreakBefore w:val="0"/>
        <w:numPr>
          <w:ilvl w:val="0"/>
          <w:numId w:val="1"/>
        </w:numPr>
        <w:kinsoku/>
        <w:wordWrap/>
        <w:overflowPunct/>
        <w:topLinePunct w:val="0"/>
        <w:bidi w:val="0"/>
        <w:adjustRightInd w:val="0"/>
        <w:snapToGrid w:val="0"/>
        <w:spacing w:line="580" w:lineRule="exact"/>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项目名称：</w:t>
      </w:r>
      <w:r>
        <w:rPr>
          <w:rFonts w:hint="eastAsia" w:ascii="方正仿宋_GBK" w:hAnsi="方正仿宋_GBK" w:eastAsia="方正仿宋_GBK" w:cs="方正仿宋_GBK"/>
          <w:b/>
          <w:sz w:val="32"/>
          <w:szCs w:val="32"/>
          <w:highlight w:val="none"/>
          <w:lang w:eastAsia="zh-CN"/>
        </w:rPr>
        <w:t>HIS系统功能开发及接口改造服务</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 购 人：惠州市第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widowControl w:val="0"/>
        <w:numPr>
          <w:ilvl w:val="0"/>
          <w:numId w:val="1"/>
        </w:numPr>
        <w:kinsoku/>
        <w:wordWrap/>
        <w:overflowPunct/>
        <w:topLinePunct w:val="0"/>
        <w:bidi w:val="0"/>
        <w:adjustRightInd/>
        <w:snapToGrid/>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项目地点：惠州市第</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人民医院</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eastAsia="zh-CN"/>
        </w:rPr>
      </w:pPr>
      <w:r>
        <w:rPr>
          <w:rFonts w:hint="eastAsia" w:ascii="方正黑体_GBK" w:hAnsi="方正黑体_GBK" w:eastAsia="方正黑体_GBK" w:cs="方正黑体_GBK"/>
          <w:b w:val="0"/>
          <w:bCs/>
          <w:kern w:val="2"/>
          <w:sz w:val="32"/>
          <w:szCs w:val="32"/>
          <w:lang w:val="en-US" w:eastAsia="zh-CN" w:bidi="ar-SA"/>
        </w:rPr>
        <w:t>（二）采购项目需求一览表</w:t>
      </w:r>
    </w:p>
    <w:tbl>
      <w:tblPr>
        <w:tblStyle w:val="10"/>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65"/>
        <w:gridCol w:w="3538"/>
        <w:gridCol w:w="969"/>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采购内容</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配置、技术参数指标或功能需求</w:t>
            </w:r>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119"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HIS系统功能开发及接口改造服务</w:t>
            </w:r>
          </w:p>
        </w:tc>
        <w:tc>
          <w:tcPr>
            <w:tcW w:w="3855"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详见技术要求</w:t>
            </w:r>
            <w:bookmarkStart w:id="1" w:name="_GoBack"/>
            <w:bookmarkEnd w:id="1"/>
          </w:p>
        </w:tc>
        <w:tc>
          <w:tcPr>
            <w:tcW w:w="10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1年</w:t>
            </w:r>
          </w:p>
        </w:tc>
        <w:tc>
          <w:tcPr>
            <w:tcW w:w="2029"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80万</w:t>
            </w:r>
          </w:p>
        </w:tc>
      </w:tr>
    </w:tbl>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bookmarkStart w:id="0" w:name="_Toc26817945"/>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kern w:val="2"/>
          <w:sz w:val="32"/>
          <w:szCs w:val="32"/>
          <w:lang w:val="en-US" w:eastAsia="zh-CN" w:bidi="ar-SA"/>
        </w:rPr>
        <w:t>（三）详细技术要求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本次服务费用明细包含以下内容，需进行项目整体报价</w:t>
      </w:r>
    </w:p>
    <w:tbl>
      <w:tblPr>
        <w:tblStyle w:val="10"/>
        <w:tblW w:w="48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216"/>
        <w:gridCol w:w="584"/>
        <w:gridCol w:w="3508"/>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品目名称</w:t>
            </w: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数量</w:t>
            </w: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参数要求</w:t>
            </w:r>
          </w:p>
        </w:tc>
        <w:tc>
          <w:tcPr>
            <w:tcW w:w="1520"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总价</w:t>
            </w:r>
            <w:r>
              <w:rPr>
                <w:rFonts w:hint="eastAsia" w:ascii="方正仿宋_GBK" w:hAnsi="方正仿宋_GBK" w:eastAsia="方正仿宋_GBK" w:cs="方正仿宋_GBK"/>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iCs w:val="0"/>
                <w:caps w:val="0"/>
                <w:color w:val="000000"/>
                <w:spacing w:val="0"/>
                <w:sz w:val="30"/>
                <w:szCs w:val="30"/>
              </w:rPr>
              <w:t>儿保系统</w:t>
            </w:r>
            <w:r>
              <w:rPr>
                <w:rFonts w:hint="eastAsia" w:ascii="方正仿宋_GBK" w:hAnsi="方正仿宋_GBK" w:eastAsia="方正仿宋_GBK" w:cs="方正仿宋_GBK"/>
                <w:color w:val="auto"/>
                <w:sz w:val="30"/>
                <w:szCs w:val="30"/>
              </w:rPr>
              <w:t>接口技术服务</w:t>
            </w: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根据诊疗卡号获取患者基本信息接口（患者卡表信息查询、患者就诊信息查询、就诊诊断查询）</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获取全院门诊科室有排班记录的所有医生接口（门诊科室信息查询、科室医生信息查询、医生排班信息查询）</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获取当天所有挂号的患者信息接口（门诊当日挂号信息查询、预约当日号源患者信息查询、患者就诊状态查询）</w:t>
            </w:r>
          </w:p>
        </w:tc>
        <w:tc>
          <w:tcPr>
            <w:tcW w:w="1520" w:type="dxa"/>
            <w:vMerge w:val="restart"/>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i w:val="0"/>
                <w:iCs w:val="0"/>
                <w:caps w:val="0"/>
                <w:color w:val="000000"/>
                <w:spacing w:val="0"/>
                <w:sz w:val="30"/>
                <w:szCs w:val="30"/>
              </w:rPr>
              <w:t>支付宝当面付</w:t>
            </w:r>
            <w:r>
              <w:rPr>
                <w:rFonts w:hint="eastAsia" w:ascii="方正仿宋_GBK" w:hAnsi="方正仿宋_GBK" w:eastAsia="方正仿宋_GBK" w:cs="方正仿宋_GBK"/>
                <w:i w:val="0"/>
                <w:iCs w:val="0"/>
                <w:caps w:val="0"/>
                <w:color w:val="000000"/>
                <w:spacing w:val="0"/>
                <w:sz w:val="30"/>
                <w:szCs w:val="30"/>
                <w:lang w:eastAsia="zh-CN"/>
              </w:rPr>
              <w:t>系统功能改造</w:t>
            </w: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eastAsia="zh-CN"/>
              </w:rPr>
            </w:pPr>
            <w:r>
              <w:rPr>
                <w:rFonts w:hint="eastAsia" w:ascii="方正仿宋_GBK" w:hAnsi="方正仿宋_GBK" w:eastAsia="方正仿宋_GBK" w:cs="方正仿宋_GBK"/>
                <w:i w:val="0"/>
                <w:iCs w:val="0"/>
                <w:caps w:val="0"/>
                <w:color w:val="000000"/>
                <w:spacing w:val="0"/>
                <w:sz w:val="30"/>
                <w:szCs w:val="30"/>
              </w:rPr>
              <w:t>门诊业务</w:t>
            </w:r>
            <w:r>
              <w:rPr>
                <w:rFonts w:hint="eastAsia" w:ascii="方正仿宋_GBK" w:hAnsi="方正仿宋_GBK" w:eastAsia="方正仿宋_GBK" w:cs="方正仿宋_GBK"/>
                <w:i w:val="0"/>
                <w:iCs w:val="0"/>
                <w:caps w:val="0"/>
                <w:color w:val="000000"/>
                <w:spacing w:val="0"/>
                <w:sz w:val="30"/>
                <w:szCs w:val="30"/>
                <w:lang w:eastAsia="zh-CN"/>
              </w:rPr>
              <w:t>：</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增加收费支付方式、收费界面改造、支付二维码识别验证、扣款申请推送、异常回退机制</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退费界面改造、支付二维码识别验证、回退扣款申请推送、异常回退机制</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eastAsia="zh-CN"/>
              </w:rPr>
            </w:pPr>
            <w:r>
              <w:rPr>
                <w:rFonts w:hint="eastAsia" w:ascii="方正仿宋_GBK" w:hAnsi="方正仿宋_GBK" w:eastAsia="方正仿宋_GBK" w:cs="方正仿宋_GBK"/>
                <w:i w:val="0"/>
                <w:iCs w:val="0"/>
                <w:caps w:val="0"/>
                <w:color w:val="000000"/>
                <w:spacing w:val="0"/>
                <w:sz w:val="30"/>
                <w:szCs w:val="30"/>
              </w:rPr>
              <w:t>住院业务</w:t>
            </w:r>
            <w:r>
              <w:rPr>
                <w:rFonts w:hint="eastAsia" w:ascii="方正仿宋_GBK" w:hAnsi="方正仿宋_GBK" w:eastAsia="方正仿宋_GBK" w:cs="方正仿宋_GBK"/>
                <w:i w:val="0"/>
                <w:iCs w:val="0"/>
                <w:caps w:val="0"/>
                <w:color w:val="000000"/>
                <w:spacing w:val="0"/>
                <w:sz w:val="30"/>
                <w:szCs w:val="30"/>
                <w:lang w:eastAsia="zh-CN"/>
              </w:rPr>
              <w:t>：</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预交金业务（增加预交金支付方式、交预交金界面改造、支付二维码识别验证、扣款申请推送、异常回退机制</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住院结算业务（结算界面改造、自动计算退还患者费用以第三方支付方式原路退回、异常回退机制）</w:t>
            </w:r>
          </w:p>
        </w:tc>
        <w:tc>
          <w:tcPr>
            <w:tcW w:w="1520"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iCs w:val="0"/>
                <w:caps w:val="0"/>
                <w:color w:val="000000"/>
                <w:spacing w:val="0"/>
                <w:sz w:val="30"/>
                <w:szCs w:val="30"/>
                <w:lang w:eastAsia="zh-CN"/>
              </w:rPr>
              <w:t>康复</w:t>
            </w:r>
            <w:r>
              <w:rPr>
                <w:rFonts w:hint="eastAsia" w:ascii="方正仿宋_GBK" w:hAnsi="方正仿宋_GBK" w:eastAsia="方正仿宋_GBK" w:cs="方正仿宋_GBK"/>
                <w:i w:val="0"/>
                <w:iCs w:val="0"/>
                <w:caps w:val="0"/>
                <w:color w:val="000000"/>
                <w:spacing w:val="0"/>
                <w:sz w:val="30"/>
                <w:szCs w:val="30"/>
              </w:rPr>
              <w:t>系统</w:t>
            </w:r>
            <w:r>
              <w:rPr>
                <w:rFonts w:hint="eastAsia" w:ascii="方正仿宋_GBK" w:hAnsi="方正仿宋_GBK" w:eastAsia="方正仿宋_GBK" w:cs="方正仿宋_GBK"/>
                <w:color w:val="auto"/>
                <w:sz w:val="30"/>
                <w:szCs w:val="30"/>
              </w:rPr>
              <w:t>接口技术服务</w:t>
            </w: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根据病区获取在院患者信息接口（病区信息查询、就诊信息查询、患者基本信息查询、就诊诊断信息查询、医嘱项信息查询、患者医嘱明细查询）</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根据患者信息接口（病区信息查询、就诊信息查询、患者基本信息查询、就诊诊断信息查询、医嘱项信息查询、患者医嘱明细查询）</w:t>
            </w:r>
          </w:p>
        </w:tc>
        <w:tc>
          <w:tcPr>
            <w:tcW w:w="1520"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iCs w:val="0"/>
                <w:caps w:val="0"/>
                <w:color w:val="000000"/>
                <w:spacing w:val="0"/>
                <w:sz w:val="30"/>
                <w:szCs w:val="30"/>
              </w:rPr>
              <w:t>护理管理系统</w:t>
            </w:r>
            <w:r>
              <w:rPr>
                <w:rFonts w:hint="eastAsia" w:ascii="方正仿宋_GBK" w:hAnsi="方正仿宋_GBK" w:eastAsia="方正仿宋_GBK" w:cs="方正仿宋_GBK"/>
                <w:color w:val="auto"/>
                <w:sz w:val="30"/>
                <w:szCs w:val="30"/>
              </w:rPr>
              <w:t>接口技术服务</w:t>
            </w: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皮试结果回传（患者信息查询、患者就诊信息查询、就诊医嘱明细查询、皮试医嘱结果信息查询）</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医嘱执行（患者医嘱校验、修改医嘱状态、异常回退机制）</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处方信息（处方号校验、收费状态校验、获取处方信息</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患者费用信息（患者信息查询、患者就诊信息查询、就诊医嘱明细查询）</w:t>
            </w:r>
          </w:p>
        </w:tc>
        <w:tc>
          <w:tcPr>
            <w:tcW w:w="1520"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iCs w:val="0"/>
                <w:caps w:val="0"/>
                <w:color w:val="000000"/>
                <w:spacing w:val="0"/>
                <w:sz w:val="30"/>
                <w:szCs w:val="30"/>
              </w:rPr>
              <w:t>耗材管理系统</w:t>
            </w:r>
            <w:r>
              <w:rPr>
                <w:rFonts w:hint="eastAsia" w:ascii="方正仿宋_GBK" w:hAnsi="方正仿宋_GBK" w:eastAsia="方正仿宋_GBK" w:cs="方正仿宋_GBK"/>
                <w:color w:val="auto"/>
                <w:sz w:val="30"/>
                <w:szCs w:val="30"/>
              </w:rPr>
              <w:t>接口技术服务</w:t>
            </w: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eastAsia="zh-CN"/>
              </w:rPr>
            </w:pPr>
            <w:r>
              <w:rPr>
                <w:rFonts w:hint="eastAsia" w:ascii="方正仿宋_GBK" w:hAnsi="方正仿宋_GBK" w:eastAsia="方正仿宋_GBK" w:cs="方正仿宋_GBK"/>
                <w:i w:val="0"/>
                <w:iCs w:val="0"/>
                <w:caps w:val="0"/>
                <w:color w:val="000000"/>
                <w:spacing w:val="0"/>
                <w:sz w:val="30"/>
                <w:szCs w:val="30"/>
              </w:rPr>
              <w:t>门诊业务</w:t>
            </w:r>
            <w:r>
              <w:rPr>
                <w:rFonts w:hint="eastAsia" w:ascii="方正仿宋_GBK" w:hAnsi="方正仿宋_GBK" w:eastAsia="方正仿宋_GBK" w:cs="方正仿宋_GBK"/>
                <w:i w:val="0"/>
                <w:iCs w:val="0"/>
                <w:caps w:val="0"/>
                <w:color w:val="000000"/>
                <w:spacing w:val="0"/>
                <w:sz w:val="30"/>
                <w:szCs w:val="30"/>
                <w:lang w:eastAsia="zh-CN"/>
              </w:rPr>
              <w:t>：</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医嘱录入（校验项目推送、异常信息展示）</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门诊收费（项目扣减库存推送、收费异常撤销扣减库存、收费正常项目扣减库存失败，重发申请减库存）</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门诊退费（项目撤销扣减库存、退费异常回退撤销扣减库存申请、退费正常回退撤销扣减库存失败，重发申请回退）</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eastAsia="zh-CN"/>
              </w:rPr>
            </w:pPr>
            <w:r>
              <w:rPr>
                <w:rFonts w:hint="eastAsia" w:ascii="方正仿宋_GBK" w:hAnsi="方正仿宋_GBK" w:eastAsia="方正仿宋_GBK" w:cs="方正仿宋_GBK"/>
                <w:i w:val="0"/>
                <w:iCs w:val="0"/>
                <w:caps w:val="0"/>
                <w:color w:val="000000"/>
                <w:spacing w:val="0"/>
                <w:sz w:val="30"/>
                <w:szCs w:val="30"/>
              </w:rPr>
              <w:t>住院业务</w:t>
            </w:r>
            <w:r>
              <w:rPr>
                <w:rFonts w:hint="eastAsia" w:ascii="方正仿宋_GBK" w:hAnsi="方正仿宋_GBK" w:eastAsia="方正仿宋_GBK" w:cs="方正仿宋_GBK"/>
                <w:i w:val="0"/>
                <w:iCs w:val="0"/>
                <w:caps w:val="0"/>
                <w:color w:val="000000"/>
                <w:spacing w:val="0"/>
                <w:sz w:val="30"/>
                <w:szCs w:val="30"/>
                <w:lang w:eastAsia="zh-CN"/>
              </w:rPr>
              <w:t>：</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医嘱录入（校验项目推送、异常信息展示、项目扣减库存推送、扣减失败支持重发申请）</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停医嘱：医嘱状态改变（停止、撤销、作废）撤销高值耗材系统库存、回退撤销库存失败，重发申请回退</w:t>
            </w:r>
          </w:p>
        </w:tc>
        <w:tc>
          <w:tcPr>
            <w:tcW w:w="1520"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p>
        </w:tc>
        <w:tc>
          <w:tcPr>
            <w:tcW w:w="1520"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iCs w:val="0"/>
                <w:caps w:val="0"/>
                <w:color w:val="000000"/>
                <w:spacing w:val="0"/>
                <w:sz w:val="30"/>
                <w:szCs w:val="30"/>
              </w:rPr>
              <w:t>医共体B超医嘱对接</w:t>
            </w:r>
            <w:r>
              <w:rPr>
                <w:rFonts w:hint="eastAsia" w:ascii="方正仿宋_GBK" w:hAnsi="方正仿宋_GBK" w:eastAsia="方正仿宋_GBK" w:cs="方正仿宋_GBK"/>
                <w:color w:val="auto"/>
                <w:sz w:val="30"/>
                <w:szCs w:val="30"/>
              </w:rPr>
              <w:t>技术服务</w:t>
            </w: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lang w:val="en-US" w:eastAsia="zh-CN"/>
              </w:rPr>
              <w:t>基础数据：</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HIS系统B超医嘱项对应收费项</w:t>
            </w:r>
            <w:r>
              <w:rPr>
                <w:rFonts w:hint="eastAsia" w:ascii="方正仿宋_GBK" w:hAnsi="方正仿宋_GBK" w:eastAsia="方正仿宋_GBK" w:cs="方正仿宋_GBK"/>
                <w:i w:val="0"/>
                <w:iCs w:val="0"/>
                <w:caps w:val="0"/>
                <w:color w:val="000000"/>
                <w:spacing w:val="0"/>
                <w:sz w:val="30"/>
                <w:szCs w:val="30"/>
                <w:lang w:val="en-US" w:eastAsia="zh-CN"/>
              </w:rPr>
              <w:t>基础数据修改</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eastAsia="zh-CN"/>
              </w:rPr>
            </w:pPr>
            <w:r>
              <w:rPr>
                <w:rFonts w:hint="eastAsia" w:ascii="方正仿宋_GBK" w:hAnsi="方正仿宋_GBK" w:eastAsia="方正仿宋_GBK" w:cs="方正仿宋_GBK"/>
                <w:i w:val="0"/>
                <w:iCs w:val="0"/>
                <w:caps w:val="0"/>
                <w:color w:val="000000"/>
                <w:spacing w:val="0"/>
                <w:sz w:val="30"/>
                <w:szCs w:val="30"/>
              </w:rPr>
              <w:t>门诊业务</w:t>
            </w:r>
            <w:r>
              <w:rPr>
                <w:rFonts w:hint="eastAsia" w:ascii="方正仿宋_GBK" w:hAnsi="方正仿宋_GBK" w:eastAsia="方正仿宋_GBK" w:cs="方正仿宋_GBK"/>
                <w:i w:val="0"/>
                <w:iCs w:val="0"/>
                <w:caps w:val="0"/>
                <w:color w:val="000000"/>
                <w:spacing w:val="0"/>
                <w:sz w:val="30"/>
                <w:szCs w:val="30"/>
                <w:lang w:eastAsia="zh-CN"/>
              </w:rPr>
              <w:t>：</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医嘱录入（B超医嘱项自动生成图文报告医嘱规则改造、图文报告医嘱接受科室改造、与第三方推送申请接口改造、异常处理回退）</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门诊退费（撤销第三方申请接口改造）</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eastAsia="zh-CN"/>
              </w:rPr>
            </w:pPr>
            <w:r>
              <w:rPr>
                <w:rFonts w:hint="eastAsia" w:ascii="方正仿宋_GBK" w:hAnsi="方正仿宋_GBK" w:eastAsia="方正仿宋_GBK" w:cs="方正仿宋_GBK"/>
                <w:i w:val="0"/>
                <w:iCs w:val="0"/>
                <w:caps w:val="0"/>
                <w:color w:val="000000"/>
                <w:spacing w:val="0"/>
                <w:sz w:val="30"/>
                <w:szCs w:val="30"/>
              </w:rPr>
              <w:t>住院业务</w:t>
            </w:r>
            <w:r>
              <w:rPr>
                <w:rFonts w:hint="eastAsia" w:ascii="方正仿宋_GBK" w:hAnsi="方正仿宋_GBK" w:eastAsia="方正仿宋_GBK" w:cs="方正仿宋_GBK"/>
                <w:i w:val="0"/>
                <w:iCs w:val="0"/>
                <w:caps w:val="0"/>
                <w:color w:val="000000"/>
                <w:spacing w:val="0"/>
                <w:sz w:val="30"/>
                <w:szCs w:val="30"/>
                <w:lang w:eastAsia="zh-CN"/>
              </w:rPr>
              <w:t>：</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医嘱录入（B超医嘱项自动生成图文报告医嘱规则改造、图文报告医嘱接受科室改造、与第三方推送申请接口改造、异常处理回退）</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医嘱停止（撤销第三方申请接口改造）</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医嘱执行（B超医嘱状态变更同时变更图文报告医嘱）</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p>
        </w:tc>
        <w:tc>
          <w:tcPr>
            <w:tcW w:w="1520"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w:t>
            </w: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iCs w:val="0"/>
                <w:caps w:val="0"/>
                <w:color w:val="000000"/>
                <w:spacing w:val="0"/>
                <w:sz w:val="30"/>
                <w:szCs w:val="30"/>
              </w:rPr>
              <w:t>人力资源管理系统</w:t>
            </w:r>
            <w:r>
              <w:rPr>
                <w:rFonts w:hint="eastAsia" w:ascii="方正仿宋_GBK" w:hAnsi="方正仿宋_GBK" w:eastAsia="方正仿宋_GBK" w:cs="方正仿宋_GBK"/>
                <w:color w:val="auto"/>
                <w:sz w:val="30"/>
                <w:szCs w:val="30"/>
              </w:rPr>
              <w:t>接口技术服务</w:t>
            </w: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用户基础信息同步（科室信息查询、用户信息查询、用户变更信息接收、异常回退机制）</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lang w:val="en-US" w:eastAsia="zh-CN"/>
              </w:rPr>
              <w:t>本院职工和本院职工家属就诊卡类型修改，实现HIS收费时优惠</w:t>
            </w:r>
          </w:p>
        </w:tc>
        <w:tc>
          <w:tcPr>
            <w:tcW w:w="1520"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w:t>
            </w: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iCs w:val="0"/>
                <w:caps w:val="0"/>
                <w:color w:val="000000"/>
                <w:spacing w:val="0"/>
                <w:sz w:val="30"/>
                <w:szCs w:val="30"/>
              </w:rPr>
              <w:t>HRP高值耗材系统</w:t>
            </w:r>
            <w:r>
              <w:rPr>
                <w:rFonts w:hint="eastAsia" w:ascii="方正仿宋_GBK" w:hAnsi="方正仿宋_GBK" w:eastAsia="方正仿宋_GBK" w:cs="方正仿宋_GBK"/>
                <w:color w:val="auto"/>
                <w:sz w:val="30"/>
                <w:szCs w:val="30"/>
              </w:rPr>
              <w:t>接口技术服务</w:t>
            </w: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lang w:val="en-US" w:eastAsia="zh-CN"/>
              </w:rPr>
              <w:t>根据接口文旦实现以下内容：</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科室字典（全院科室信息查询、科室地址查询）</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用户字典（全院在职人员查询、职称查询、用户类型查询）</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生产厂家字典</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 xml:space="preserve">供应商字典 </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商品字典同步</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低值计费耗材处方/医嘱接口</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低值计费耗材处方/医嘱作废接口</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低值计费耗材收费/使用接口</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低值计费耗材退费接口</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低值计费耗材库存接口</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诊疗项目字典同步</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SPD标签绑定接口</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SPD标签消耗接口</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SPD标签退货接口</w:t>
            </w:r>
          </w:p>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计费/收费项目同步接口</w:t>
            </w:r>
          </w:p>
        </w:tc>
        <w:tc>
          <w:tcPr>
            <w:tcW w:w="1520"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w:t>
            </w: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iCs w:val="0"/>
                <w:caps w:val="0"/>
                <w:color w:val="000000"/>
                <w:spacing w:val="0"/>
                <w:sz w:val="30"/>
                <w:szCs w:val="30"/>
              </w:rPr>
              <w:t>重症系统</w:t>
            </w:r>
            <w:r>
              <w:rPr>
                <w:rFonts w:hint="eastAsia" w:ascii="方正仿宋_GBK" w:hAnsi="方正仿宋_GBK" w:eastAsia="方正仿宋_GBK" w:cs="方正仿宋_GBK"/>
                <w:color w:val="auto"/>
                <w:sz w:val="30"/>
                <w:szCs w:val="30"/>
              </w:rPr>
              <w:t>接口技术服务</w:t>
            </w: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lang w:val="en-US" w:eastAsia="zh-CN"/>
              </w:rPr>
              <w:t>根据接口文档实现以下内容：</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科室字典（全院科室信息查询、科室地址查询）</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用户字典（全院在职人员查询、职称查询、用户类型查询）</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药品字典（全院药品信息、药品归类规则）</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物价字典 (全院收费项信息、项目价格查询、项目归类规则</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床位字典（全院病区查询、病区床位查询、设置过滤规则</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手术名称字典</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患者基本信息（患者病案信息查询、患者就诊信息查询、患者基本信息查询）</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患者在信息查询（病区信息查询、床位信息查询、患者就诊信息查询、患者基本信息查询、患者病案信息查询）</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患者医学史信息（患者病案信息查询、患者就诊信息查询、患者过敏史查询）</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患者入院诊疗信息（患者病案信息查询、患者就诊信息查询、患者就诊诊断信息查询）</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患者入出转信息（患者病案信息查询、患者就诊信息查询、患者就诊转科记录查询）</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医嘱信息（患者病案信息查询、患者就诊信息查询、患者就诊医嘱明细查询、设置医嘱归类规则）</w:t>
            </w:r>
          </w:p>
        </w:tc>
        <w:tc>
          <w:tcPr>
            <w:tcW w:w="1520"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12" w:type="dxa"/>
            <w:vAlign w:val="center"/>
          </w:tcPr>
          <w:p>
            <w:pPr>
              <w:keepNext w:val="0"/>
              <w:keepLines w:val="0"/>
              <w:pageBreakBefore w:val="0"/>
              <w:kinsoku/>
              <w:wordWrap/>
              <w:overflowPunct/>
              <w:topLinePunct w:val="0"/>
              <w:bidi w:val="0"/>
              <w:spacing w:after="0" w:line="580"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w:t>
            </w:r>
          </w:p>
        </w:tc>
        <w:tc>
          <w:tcPr>
            <w:tcW w:w="2216"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i w:val="0"/>
                <w:iCs w:val="0"/>
                <w:caps w:val="0"/>
                <w:color w:val="000000"/>
                <w:spacing w:val="0"/>
                <w:sz w:val="30"/>
                <w:szCs w:val="30"/>
              </w:rPr>
              <w:t>自助机业务</w:t>
            </w:r>
            <w:r>
              <w:rPr>
                <w:rFonts w:hint="eastAsia" w:ascii="方正仿宋_GBK" w:hAnsi="方正仿宋_GBK" w:eastAsia="方正仿宋_GBK" w:cs="方正仿宋_GBK"/>
                <w:color w:val="auto"/>
                <w:sz w:val="30"/>
                <w:szCs w:val="30"/>
              </w:rPr>
              <w:t>接口技术服务</w:t>
            </w:r>
          </w:p>
        </w:tc>
        <w:tc>
          <w:tcPr>
            <w:tcW w:w="584"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3508" w:type="dxa"/>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rPr>
            </w:pPr>
            <w:r>
              <w:rPr>
                <w:rFonts w:hint="eastAsia" w:ascii="方正仿宋_GBK" w:hAnsi="方正仿宋_GBK" w:eastAsia="方正仿宋_GBK" w:cs="方正仿宋_GBK"/>
                <w:i w:val="0"/>
                <w:iCs w:val="0"/>
                <w:caps w:val="0"/>
                <w:color w:val="000000"/>
                <w:spacing w:val="0"/>
                <w:sz w:val="30"/>
                <w:szCs w:val="30"/>
              </w:rPr>
              <w:t>患者信息接口升级（根据身份证查询患者信息）</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挂号接口规则升级</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收费接口规则升级</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门诊医保结算接口（医保登记、医保费用上传、医保预结算、医保结算、查询医保结算单）</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提供打印电子发票接口</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提供电子健康码查询患者信息</w:t>
            </w:r>
          </w:p>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i w:val="0"/>
                <w:iCs w:val="0"/>
                <w:caps w:val="0"/>
                <w:color w:val="000000"/>
                <w:spacing w:val="0"/>
                <w:sz w:val="30"/>
                <w:szCs w:val="30"/>
                <w:lang w:val="en-US" w:eastAsia="zh-CN"/>
              </w:rPr>
            </w:pPr>
            <w:r>
              <w:rPr>
                <w:rFonts w:hint="eastAsia" w:ascii="方正仿宋_GBK" w:hAnsi="方正仿宋_GBK" w:eastAsia="方正仿宋_GBK" w:cs="方正仿宋_GBK"/>
                <w:i w:val="0"/>
                <w:iCs w:val="0"/>
                <w:caps w:val="0"/>
                <w:color w:val="000000"/>
                <w:spacing w:val="0"/>
                <w:sz w:val="30"/>
                <w:szCs w:val="30"/>
              </w:rPr>
              <w:t>代缴费接口规则升级</w:t>
            </w:r>
          </w:p>
        </w:tc>
        <w:tc>
          <w:tcPr>
            <w:tcW w:w="1520" w:type="dxa"/>
            <w:vMerge w:val="continue"/>
            <w:vAlign w:val="center"/>
          </w:tcPr>
          <w:p>
            <w:pPr>
              <w:keepNext w:val="0"/>
              <w:keepLines w:val="0"/>
              <w:pageBreakBefore w:val="0"/>
              <w:kinsoku/>
              <w:wordWrap/>
              <w:overflowPunct/>
              <w:topLinePunct w:val="0"/>
              <w:bidi w:val="0"/>
              <w:spacing w:after="0" w:line="580" w:lineRule="exact"/>
              <w:jc w:val="both"/>
              <w:textAlignment w:val="auto"/>
              <w:rPr>
                <w:rFonts w:hint="eastAsia" w:ascii="方正仿宋_GBK" w:hAnsi="方正仿宋_GBK" w:eastAsia="方正仿宋_GBK" w:cs="方正仿宋_GBK"/>
                <w:sz w:val="32"/>
                <w:szCs w:val="32"/>
              </w:rPr>
            </w:pPr>
          </w:p>
        </w:tc>
      </w:tr>
    </w:tbl>
    <w:p>
      <w:pPr>
        <w:pStyle w:val="15"/>
        <w:keepNext w:val="0"/>
        <w:keepLines w:val="0"/>
        <w:pageBreakBefore w:val="0"/>
        <w:kinsoku/>
        <w:wordWrap/>
        <w:overflowPunct/>
        <w:topLinePunct w:val="0"/>
        <w:bidi w:val="0"/>
        <w:spacing w:line="580" w:lineRule="exact"/>
        <w:ind w:firstLine="480"/>
        <w:jc w:val="both"/>
        <w:textAlignment w:val="auto"/>
        <w:rPr>
          <w:rFonts w:hint="eastAsia" w:ascii="方正仿宋_GBK" w:hAnsi="方正仿宋_GBK" w:eastAsia="方正仿宋_GBK" w:cs="方正仿宋_GBK"/>
          <w:sz w:val="32"/>
          <w:szCs w:val="32"/>
        </w:rPr>
        <w:sectPr>
          <w:pgSz w:w="11905" w:h="16838"/>
          <w:pgMar w:top="2041" w:right="1587" w:bottom="1701" w:left="1587" w:header="850" w:footer="850" w:gutter="0"/>
          <w:cols w:space="720" w:num="1"/>
        </w:sectPr>
      </w:pP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二、采购项目商务要求</w:t>
      </w:r>
      <w:bookmarkEnd w:id="0"/>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（一）报价要求</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磋商的投标报价为响应供应商参与本项目投标的所有费用（含投标费用、中标服务费、评审专家劳务费等）以及完成本采购项目需求一览表要求的服务项目工作的一切费用（包括但不限于本项目服务过程的相关设备购置及使用费用、版权专利费、人员工资、社保、保险、福利、管理费、风险费、税费、利润等）。上述费用不管是否在响应供应商报价书中单列，均视为磋商总价中已包含该费用。</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2、各响应供应商须根据本项目的实际情况以及自身的实际情况填报，不得高于最高限价（本项目采购预算），否则作无效标处理。磋商报价保留到小数点后两位数。</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lang w:val="hr-HR"/>
        </w:rPr>
      </w:pPr>
      <w:r>
        <w:rPr>
          <w:rFonts w:hint="eastAsia" w:ascii="方正黑体_GBK" w:hAnsi="方正黑体_GBK" w:eastAsia="方正黑体_GBK" w:cs="方正黑体_GBK"/>
          <w:b w:val="0"/>
          <w:bCs/>
          <w:kern w:val="2"/>
          <w:sz w:val="32"/>
          <w:szCs w:val="32"/>
          <w:lang w:val="en-US" w:eastAsia="zh-CN" w:bidi="ar-SA"/>
        </w:rPr>
        <w:t>（二）</w:t>
      </w:r>
      <w:r>
        <w:rPr>
          <w:rFonts w:hint="eastAsia" w:ascii="方正黑体_GBK" w:hAnsi="方正黑体_GBK" w:eastAsia="方正黑体_GBK" w:cs="方正黑体_GBK"/>
          <w:b w:val="0"/>
          <w:bCs/>
          <w:kern w:val="2"/>
          <w:sz w:val="32"/>
          <w:szCs w:val="32"/>
          <w:lang w:val="hr-HR" w:eastAsia="zh-CN" w:bidi="ar-SA"/>
        </w:rPr>
        <w:t>服务期限</w:t>
      </w:r>
    </w:p>
    <w:p>
      <w:pPr>
        <w:keepNext w:val="0"/>
        <w:keepLines w:val="0"/>
        <w:pageBreakBefore w:val="0"/>
        <w:kinsoku/>
        <w:wordWrap/>
        <w:overflowPunct/>
        <w:topLinePunct w:val="0"/>
        <w:bidi w:val="0"/>
        <w:spacing w:after="0" w:line="580" w:lineRule="exact"/>
        <w:ind w:firstLine="4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服务期限为期</w:t>
      </w:r>
      <w:r>
        <w:rPr>
          <w:rFonts w:hint="eastAsia" w:ascii="方正仿宋_GBK" w:hAnsi="方正仿宋_GBK" w:eastAsia="方正仿宋_GBK" w:cs="方正仿宋_GBK"/>
          <w:sz w:val="32"/>
          <w:szCs w:val="32"/>
          <w:u w:val="single"/>
          <w:lang w:val="en-US" w:eastAsia="zh-CN"/>
        </w:rPr>
        <w:t>1年</w:t>
      </w:r>
      <w:r>
        <w:rPr>
          <w:rFonts w:hint="eastAsia" w:ascii="方正仿宋_GBK" w:hAnsi="方正仿宋_GBK" w:eastAsia="方正仿宋_GBK" w:cs="方正仿宋_GBK"/>
          <w:sz w:val="32"/>
          <w:szCs w:val="32"/>
        </w:rPr>
        <w:t>，自合同签订之日起开始计算服务期限。</w:t>
      </w:r>
    </w:p>
    <w:p>
      <w:pPr>
        <w:keepNext w:val="0"/>
        <w:keepLines w:val="0"/>
        <w:pageBreakBefore w:val="0"/>
        <w:numPr>
          <w:ilvl w:val="0"/>
          <w:numId w:val="2"/>
        </w:numPr>
        <w:kinsoku/>
        <w:wordWrap/>
        <w:overflowPunct/>
        <w:topLinePunct w:val="0"/>
        <w:bidi w:val="0"/>
        <w:spacing w:after="0" w:line="580" w:lineRule="exact"/>
        <w:ind w:left="480"/>
        <w:jc w:val="both"/>
        <w:textAlignment w:val="auto"/>
        <w:rPr>
          <w:rFonts w:hint="eastAsia" w:ascii="方正仿宋_GBK" w:hAnsi="方正仿宋_GBK" w:eastAsia="方正仿宋_GBK" w:cs="方正仿宋_GBK"/>
          <w:b/>
          <w:sz w:val="32"/>
          <w:szCs w:val="32"/>
          <w:lang w:val="hr-HR"/>
        </w:rPr>
      </w:pPr>
      <w:r>
        <w:rPr>
          <w:rFonts w:hint="eastAsia" w:ascii="方正黑体_GBK" w:hAnsi="方正黑体_GBK" w:eastAsia="方正黑体_GBK" w:cs="方正黑体_GBK"/>
          <w:b w:val="0"/>
          <w:bCs/>
          <w:kern w:val="2"/>
          <w:sz w:val="32"/>
          <w:szCs w:val="32"/>
          <w:lang w:val="hr-HR" w:eastAsia="zh-CN" w:bidi="ar-SA"/>
        </w:rPr>
        <w:t>售后服务要求：</w:t>
      </w: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1、交货时间：自合同签订之日起30天内完成。</w:t>
      </w: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2、交货地点：采购人指定地点。</w:t>
      </w: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3、验收要求：验收按相关规定、规范进行。</w:t>
      </w: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4、售后服务：</w:t>
      </w: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（1）质保期：提供一年免费服务，质保期从从项目验收合格之日起计算。</w:t>
      </w: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（2）质保期内，由成交供应商免费提供服务，同时根据采购人的需求进行系统的系统功能完善、维护等服务。</w:t>
      </w: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（3）系统出现故障时，承诺在1小时内对用户所提出的维修要求做出反应，如需要在2小时内到达现场，并在1小时内恢复系统正常运行。</w:t>
      </w: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（4）提供7x24小时技术支持，提供电话、企业微信等多种售后联系方式。</w:t>
      </w: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（5）随时与客户开展技术交流，解答客户的问题，及时为客户提供相关的技术资料，电话指导不能解决的问题，1小时内现场服务解决。</w:t>
      </w:r>
    </w:p>
    <w:p>
      <w:pPr>
        <w:keepNext w:val="0"/>
        <w:keepLines w:val="0"/>
        <w:pageBreakBefore w:val="0"/>
        <w:kinsoku/>
        <w:wordWrap/>
        <w:overflowPunct/>
        <w:topLinePunct w:val="0"/>
        <w:bidi w:val="0"/>
        <w:spacing w:after="0" w:line="580" w:lineRule="exact"/>
        <w:ind w:firstLine="481"/>
        <w:jc w:val="both"/>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（6）对采购人的系统用户进行免费培训，以确保系统用户能够正确、熟练地使用系统。</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b w:val="0"/>
          <w:bCs/>
          <w:kern w:val="2"/>
          <w:sz w:val="32"/>
          <w:szCs w:val="32"/>
          <w:lang w:val="en-US" w:eastAsia="zh-CN" w:bidi="ar-SA"/>
        </w:rPr>
        <w:t>（四）服务地点：惠州市第六人民医院</w:t>
      </w:r>
    </w:p>
    <w:p>
      <w:pPr>
        <w:keepNext w:val="0"/>
        <w:keepLines w:val="0"/>
        <w:pageBreakBefore w:val="0"/>
        <w:kinsoku/>
        <w:wordWrap/>
        <w:overflowPunct/>
        <w:topLinePunct w:val="0"/>
        <w:bidi w:val="0"/>
        <w:spacing w:after="0" w:line="580" w:lineRule="exact"/>
        <w:ind w:firstLine="665" w:firstLineChars="208"/>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kern w:val="2"/>
          <w:sz w:val="32"/>
          <w:szCs w:val="32"/>
          <w:lang w:val="en-US" w:eastAsia="zh-CN" w:bidi="ar-SA"/>
        </w:rPr>
        <w:t>（五）结算方式：</w:t>
      </w:r>
    </w:p>
    <w:p>
      <w:pPr>
        <w:keepNext w:val="0"/>
        <w:keepLines w:val="0"/>
        <w:pageBreakBefore w:val="0"/>
        <w:kinsoku/>
        <w:wordWrap/>
        <w:overflowPunct/>
        <w:topLinePunct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hr-HR"/>
        </w:rPr>
      </w:pPr>
      <w:r>
        <w:rPr>
          <w:rFonts w:hint="eastAsia" w:ascii="方正仿宋_GBK" w:hAnsi="方正仿宋_GBK" w:eastAsia="方正仿宋_GBK" w:cs="方正仿宋_GBK"/>
          <w:sz w:val="32"/>
          <w:szCs w:val="32"/>
          <w:lang w:val="hr-HR"/>
        </w:rPr>
        <w:t>按成交供应商的磋商报价作为合同价，以合同价进行总价包干。</w:t>
      </w:r>
    </w:p>
    <w:p>
      <w:pPr>
        <w:keepNext w:val="0"/>
        <w:keepLines w:val="0"/>
        <w:pageBreakBefore w:val="0"/>
        <w:numPr>
          <w:ilvl w:val="0"/>
          <w:numId w:val="3"/>
        </w:numPr>
        <w:kinsoku/>
        <w:wordWrap/>
        <w:overflowPunct/>
        <w:topLinePunct w:val="0"/>
        <w:autoSpaceDE w:val="0"/>
        <w:autoSpaceDN w:val="0"/>
        <w:bidi w:val="0"/>
        <w:spacing w:after="0" w:line="580" w:lineRule="exact"/>
        <w:ind w:firstLine="640" w:firstLineChars="200"/>
        <w:jc w:val="both"/>
        <w:textAlignment w:val="auto"/>
        <w:rPr>
          <w:rFonts w:hint="eastAsia"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付款方式：</w:t>
      </w:r>
    </w:p>
    <w:p>
      <w:pPr>
        <w:keepNext w:val="0"/>
        <w:keepLines w:val="0"/>
        <w:pageBreakBefore w:val="0"/>
        <w:numPr>
          <w:ilvl w:val="0"/>
          <w:numId w:val="0"/>
        </w:numPr>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合同签订之日起，采购人收到成交供应商开具的正式发票后30个工作日内，采购人向成交供应商支付合同总价款的50%；</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（2）成交供应商完成服务事项并验收合格后，采购人收到成交供应商开具的正式发票后30个工作日内，采购人向成交供应商支付合同总价款的50%。</w:t>
      </w:r>
    </w:p>
    <w:p>
      <w:pPr>
        <w:keepNext w:val="0"/>
        <w:keepLines w:val="0"/>
        <w:pageBreakBefore w:val="0"/>
        <w:kinsoku/>
        <w:wordWrap/>
        <w:overflowPunct/>
        <w:topLinePunct w:val="0"/>
        <w:autoSpaceDE w:val="0"/>
        <w:autoSpaceDN w:val="0"/>
        <w:bidi w:val="0"/>
        <w:spacing w:after="0" w:line="58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）采购人不承担因财政资金不能及时到位给成交供应商造成的任何损失。</w:t>
      </w:r>
    </w:p>
    <w:p>
      <w:pPr>
        <w:keepNext w:val="0"/>
        <w:keepLines w:val="0"/>
        <w:pageBreakBefore w:val="0"/>
        <w:kinsoku/>
        <w:wordWrap/>
        <w:overflowPunct/>
        <w:topLinePunct w:val="0"/>
        <w:bidi w:val="0"/>
        <w:spacing w:line="580" w:lineRule="exact"/>
        <w:jc w:val="both"/>
        <w:textAlignment w:val="auto"/>
        <w:rPr>
          <w:rFonts w:hint="eastAsia" w:ascii="方正仿宋_GBK" w:hAnsi="方正仿宋_GBK" w:eastAsia="方正仿宋_GBK" w:cs="方正仿宋_GBK"/>
          <w:b/>
          <w:bCs/>
          <w:sz w:val="32"/>
          <w:szCs w:val="32"/>
        </w:rPr>
      </w:pPr>
    </w:p>
    <w:p>
      <w:pPr>
        <w:keepNext w:val="0"/>
        <w:keepLines w:val="0"/>
        <w:pageBreakBefore w:val="0"/>
        <w:kinsoku/>
        <w:wordWrap/>
        <w:overflowPunct/>
        <w:topLinePunct w:val="0"/>
        <w:autoSpaceDE w:val="0"/>
        <w:autoSpaceDN w:val="0"/>
        <w:bidi w:val="0"/>
        <w:spacing w:after="0" w:line="580" w:lineRule="exact"/>
        <w:ind w:right="32"/>
        <w:jc w:val="both"/>
        <w:textAlignment w:val="auto"/>
        <w:rPr>
          <w:rFonts w:hint="eastAsia" w:ascii="方正仿宋_GBK" w:hAnsi="方正仿宋_GBK" w:eastAsia="方正仿宋_GBK" w:cs="方正仿宋_GBK"/>
          <w:sz w:val="32"/>
          <w:szCs w:val="32"/>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1" w:fontKey="{509DA234-7367-4DEB-A25F-D415EF211360}"/>
  </w:font>
  <w:font w:name="方正黑体_GBK">
    <w:panose1 w:val="02000000000000000000"/>
    <w:charset w:val="86"/>
    <w:family w:val="auto"/>
    <w:pitch w:val="default"/>
    <w:sig w:usb0="A00002BF" w:usb1="38CF7CFA" w:usb2="00082016" w:usb3="00000000" w:csb0="00040001" w:csb1="00000000"/>
    <w:embedRegular r:id="rId2" w:fontKey="{36C92CF6-0071-4608-9639-C3B28AE45DFB}"/>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2F9F1"/>
    <w:multiLevelType w:val="singleLevel"/>
    <w:tmpl w:val="8122F9F1"/>
    <w:lvl w:ilvl="0" w:tentative="0">
      <w:start w:val="3"/>
      <w:numFmt w:val="chineseCounting"/>
      <w:suff w:val="nothing"/>
      <w:lvlText w:val="（%1）"/>
      <w:lvlJc w:val="left"/>
      <w:rPr>
        <w:rFonts w:hint="eastAsia"/>
      </w:rPr>
    </w:lvl>
  </w:abstractNum>
  <w:abstractNum w:abstractNumId="1">
    <w:nsid w:val="00C528BD"/>
    <w:multiLevelType w:val="multilevel"/>
    <w:tmpl w:val="00C528BD"/>
    <w:lvl w:ilvl="0" w:tentative="0">
      <w:start w:val="1"/>
      <w:numFmt w:val="decimal"/>
      <w:suff w:val="nothing"/>
      <w:lvlText w:val="%1."/>
      <w:lvlJc w:val="left"/>
      <w:pPr>
        <w:ind w:left="900" w:hanging="420"/>
      </w:pPr>
      <w:rPr>
        <w:rFonts w:hint="eastAsia"/>
      </w:rPr>
    </w:lvl>
    <w:lvl w:ilvl="1" w:tentative="0">
      <w:start w:val="1"/>
      <w:numFmt w:val="decimal"/>
      <w:isLgl/>
      <w:lvlText w:val="%1.%2"/>
      <w:lvlJc w:val="left"/>
      <w:pPr>
        <w:ind w:left="960" w:hanging="480"/>
      </w:pPr>
      <w:rPr>
        <w:rFonts w:hint="eastAsia"/>
      </w:rPr>
    </w:lvl>
    <w:lvl w:ilvl="2" w:tentative="0">
      <w:start w:val="1"/>
      <w:numFmt w:val="decimal"/>
      <w:isLgl/>
      <w:lvlText w:val="%1.%2.%3"/>
      <w:lvlJc w:val="left"/>
      <w:pPr>
        <w:ind w:left="1200" w:hanging="720"/>
      </w:pPr>
      <w:rPr>
        <w:rFonts w:hint="eastAsia"/>
      </w:rPr>
    </w:lvl>
    <w:lvl w:ilvl="3" w:tentative="0">
      <w:start w:val="1"/>
      <w:numFmt w:val="decimal"/>
      <w:isLgl/>
      <w:lvlText w:val="%1.%2.%3.%4"/>
      <w:lvlJc w:val="left"/>
      <w:pPr>
        <w:ind w:left="1560" w:hanging="1080"/>
      </w:pPr>
      <w:rPr>
        <w:rFonts w:hint="eastAsia"/>
      </w:rPr>
    </w:lvl>
    <w:lvl w:ilvl="4" w:tentative="0">
      <w:start w:val="1"/>
      <w:numFmt w:val="decimal"/>
      <w:isLgl/>
      <w:lvlText w:val="%1.%2.%3.%4.%5"/>
      <w:lvlJc w:val="left"/>
      <w:pPr>
        <w:ind w:left="1560" w:hanging="1080"/>
      </w:pPr>
      <w:rPr>
        <w:rFonts w:hint="eastAsia"/>
      </w:rPr>
    </w:lvl>
    <w:lvl w:ilvl="5" w:tentative="0">
      <w:start w:val="1"/>
      <w:numFmt w:val="decimal"/>
      <w:isLgl/>
      <w:lvlText w:val="%1.%2.%3.%4.%5.%6"/>
      <w:lvlJc w:val="left"/>
      <w:pPr>
        <w:ind w:left="1920" w:hanging="1440"/>
      </w:pPr>
      <w:rPr>
        <w:rFonts w:hint="eastAsia"/>
      </w:rPr>
    </w:lvl>
    <w:lvl w:ilvl="6" w:tentative="0">
      <w:start w:val="1"/>
      <w:numFmt w:val="decimal"/>
      <w:isLgl/>
      <w:lvlText w:val="%1.%2.%3.%4.%5.%6.%7"/>
      <w:lvlJc w:val="left"/>
      <w:pPr>
        <w:ind w:left="2280" w:hanging="1800"/>
      </w:pPr>
      <w:rPr>
        <w:rFonts w:hint="eastAsia"/>
      </w:rPr>
    </w:lvl>
    <w:lvl w:ilvl="7" w:tentative="0">
      <w:start w:val="1"/>
      <w:numFmt w:val="decimal"/>
      <w:isLgl/>
      <w:lvlText w:val="%1.%2.%3.%4.%5.%6.%7.%8"/>
      <w:lvlJc w:val="left"/>
      <w:pPr>
        <w:ind w:left="2280" w:hanging="1800"/>
      </w:pPr>
      <w:rPr>
        <w:rFonts w:hint="eastAsia"/>
      </w:rPr>
    </w:lvl>
    <w:lvl w:ilvl="8" w:tentative="0">
      <w:start w:val="1"/>
      <w:numFmt w:val="decimal"/>
      <w:isLgl/>
      <w:lvlText w:val="%1.%2.%3.%4.%5.%6.%7.%8.%9"/>
      <w:lvlJc w:val="left"/>
      <w:pPr>
        <w:ind w:left="2640" w:hanging="2160"/>
      </w:pPr>
      <w:rPr>
        <w:rFonts w:hint="eastAsia"/>
      </w:rPr>
    </w:lvl>
  </w:abstractNum>
  <w:abstractNum w:abstractNumId="2">
    <w:nsid w:val="5FD999CB"/>
    <w:multiLevelType w:val="singleLevel"/>
    <w:tmpl w:val="5FD999CB"/>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ZTQwZmU0MDU3ZTNkZGI5YzVmMTAyODYwYjVmZjYifQ=="/>
  </w:docVars>
  <w:rsids>
    <w:rsidRoot w:val="00D31D50"/>
    <w:rsid w:val="000D1436"/>
    <w:rsid w:val="001725BF"/>
    <w:rsid w:val="00323B43"/>
    <w:rsid w:val="003D37D8"/>
    <w:rsid w:val="00417519"/>
    <w:rsid w:val="00426133"/>
    <w:rsid w:val="004358AB"/>
    <w:rsid w:val="0045783B"/>
    <w:rsid w:val="004D44FE"/>
    <w:rsid w:val="005A05FC"/>
    <w:rsid w:val="005D794E"/>
    <w:rsid w:val="005F247F"/>
    <w:rsid w:val="006345C8"/>
    <w:rsid w:val="006550EA"/>
    <w:rsid w:val="006A4117"/>
    <w:rsid w:val="00734E54"/>
    <w:rsid w:val="00794475"/>
    <w:rsid w:val="008108E5"/>
    <w:rsid w:val="00895D57"/>
    <w:rsid w:val="008B7726"/>
    <w:rsid w:val="0091069E"/>
    <w:rsid w:val="00922117"/>
    <w:rsid w:val="00922DD4"/>
    <w:rsid w:val="00A565DC"/>
    <w:rsid w:val="00AB1C5E"/>
    <w:rsid w:val="00B735C0"/>
    <w:rsid w:val="00BC539E"/>
    <w:rsid w:val="00BE03E8"/>
    <w:rsid w:val="00C411AA"/>
    <w:rsid w:val="00D31D50"/>
    <w:rsid w:val="00D90927"/>
    <w:rsid w:val="00DF66C9"/>
    <w:rsid w:val="00E667EB"/>
    <w:rsid w:val="00F05BD4"/>
    <w:rsid w:val="00F1239F"/>
    <w:rsid w:val="047201BE"/>
    <w:rsid w:val="22755816"/>
    <w:rsid w:val="33F421E7"/>
    <w:rsid w:val="456D788A"/>
    <w:rsid w:val="492A23F4"/>
    <w:rsid w:val="61F61211"/>
    <w:rsid w:val="62AE64D2"/>
    <w:rsid w:val="7D055042"/>
    <w:rsid w:val="7F567244"/>
    <w:rsid w:val="7FDC26EB"/>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0"/>
    <w:qFormat/>
    <w:uiPriority w:val="0"/>
    <w:pPr>
      <w:widowControl w:val="0"/>
      <w:adjustRightInd/>
      <w:snapToGrid/>
      <w:spacing w:after="0"/>
      <w:ind w:firstLine="420"/>
      <w:jc w:val="both"/>
    </w:pPr>
    <w:rPr>
      <w:rFonts w:eastAsia="宋体" w:asciiTheme="minorHAnsi" w:hAnsiTheme="minorHAnsi"/>
      <w:kern w:val="2"/>
      <w:sz w:val="21"/>
      <w:szCs w:val="24"/>
    </w:rPr>
  </w:style>
  <w:style w:type="paragraph" w:styleId="3">
    <w:name w:val="caption"/>
    <w:basedOn w:val="1"/>
    <w:next w:val="1"/>
    <w:semiHidden/>
    <w:unhideWhenUsed/>
    <w:qFormat/>
    <w:uiPriority w:val="35"/>
    <w:rPr>
      <w:rFonts w:eastAsia="黑体" w:asciiTheme="majorHAnsi" w:hAnsiTheme="majorHAnsi" w:cstheme="majorBidi"/>
      <w:sz w:val="20"/>
      <w:szCs w:val="20"/>
    </w:rPr>
  </w:style>
  <w:style w:type="paragraph" w:styleId="4">
    <w:name w:val="Document Map"/>
    <w:basedOn w:val="1"/>
    <w:link w:val="19"/>
    <w:semiHidden/>
    <w:unhideWhenUsed/>
    <w:qFormat/>
    <w:uiPriority w:val="99"/>
    <w:rPr>
      <w:rFonts w:ascii="宋体" w:eastAsia="宋体"/>
      <w:sz w:val="18"/>
      <w:szCs w:val="18"/>
    </w:rPr>
  </w:style>
  <w:style w:type="paragraph" w:styleId="5">
    <w:name w:val="Body Text"/>
    <w:basedOn w:val="1"/>
    <w:link w:val="18"/>
    <w:qFormat/>
    <w:uiPriority w:val="0"/>
    <w:pPr>
      <w:widowControl w:val="0"/>
      <w:adjustRightInd/>
      <w:snapToGrid/>
      <w:spacing w:after="0"/>
      <w:jc w:val="both"/>
    </w:pPr>
    <w:rPr>
      <w:rFonts w:ascii="宋体" w:hAnsi="宋体" w:eastAsia="宋体" w:cs="宋体"/>
      <w:sz w:val="24"/>
      <w:szCs w:val="24"/>
      <w:lang w:val="zh-CN" w:bidi="zh-CN"/>
    </w:rPr>
  </w:style>
  <w:style w:type="paragraph" w:styleId="6">
    <w:name w:val="Plain Text"/>
    <w:basedOn w:val="1"/>
    <w:next w:val="1"/>
    <w:link w:val="16"/>
    <w:qFormat/>
    <w:uiPriority w:val="99"/>
    <w:pPr>
      <w:widowControl w:val="0"/>
      <w:adjustRightInd/>
      <w:snapToGrid/>
      <w:spacing w:after="0"/>
      <w:jc w:val="both"/>
    </w:pPr>
    <w:rPr>
      <w:rFonts w:ascii="宋体" w:eastAsia="宋体" w:cs="Courier New" w:hAnsiTheme="minorHAnsi"/>
      <w:kern w:val="2"/>
      <w:sz w:val="21"/>
      <w:szCs w:val="21"/>
    </w:rPr>
  </w:style>
  <w:style w:type="paragraph" w:styleId="7">
    <w:name w:val="Balloon Text"/>
    <w:basedOn w:val="1"/>
    <w:link w:val="23"/>
    <w:semiHidden/>
    <w:unhideWhenUsed/>
    <w:qFormat/>
    <w:uiPriority w:val="99"/>
    <w:pPr>
      <w:spacing w:after="0"/>
    </w:pPr>
    <w:rPr>
      <w:sz w:val="18"/>
      <w:szCs w:val="18"/>
    </w:rPr>
  </w:style>
  <w:style w:type="paragraph" w:styleId="8">
    <w:name w:val="footer"/>
    <w:basedOn w:val="1"/>
    <w:link w:val="13"/>
    <w:semiHidden/>
    <w:unhideWhenUsed/>
    <w:qFormat/>
    <w:uiPriority w:val="99"/>
    <w:pPr>
      <w:tabs>
        <w:tab w:val="center" w:pos="4153"/>
        <w:tab w:val="right" w:pos="8306"/>
      </w:tabs>
    </w:pPr>
    <w:rPr>
      <w:sz w:val="18"/>
      <w:szCs w:val="18"/>
    </w:rPr>
  </w:style>
  <w:style w:type="paragraph" w:styleId="9">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字符"/>
    <w:basedOn w:val="11"/>
    <w:link w:val="9"/>
    <w:semiHidden/>
    <w:qFormat/>
    <w:uiPriority w:val="99"/>
    <w:rPr>
      <w:rFonts w:ascii="Tahoma" w:hAnsi="Tahoma"/>
      <w:sz w:val="18"/>
      <w:szCs w:val="18"/>
    </w:rPr>
  </w:style>
  <w:style w:type="character" w:customStyle="1" w:styleId="13">
    <w:name w:val="页脚 字符"/>
    <w:basedOn w:val="11"/>
    <w:link w:val="8"/>
    <w:semiHidden/>
    <w:qFormat/>
    <w:uiPriority w:val="99"/>
    <w:rPr>
      <w:rFonts w:ascii="Tahoma" w:hAnsi="Tahoma"/>
      <w:sz w:val="18"/>
      <w:szCs w:val="18"/>
    </w:rPr>
  </w:style>
  <w:style w:type="character" w:customStyle="1" w:styleId="14">
    <w:name w:val="z正文 Char Char"/>
    <w:link w:val="15"/>
    <w:qFormat/>
    <w:uiPriority w:val="0"/>
    <w:rPr>
      <w:rFonts w:eastAsia="仿宋_GB2312" w:cs="宋体"/>
      <w:kern w:val="2"/>
      <w:sz w:val="28"/>
    </w:rPr>
  </w:style>
  <w:style w:type="paragraph" w:customStyle="1" w:styleId="15">
    <w:name w:val="z正文"/>
    <w:basedOn w:val="1"/>
    <w:link w:val="14"/>
    <w:qFormat/>
    <w:uiPriority w:val="0"/>
    <w:pPr>
      <w:widowControl w:val="0"/>
      <w:adjustRightInd/>
      <w:snapToGrid/>
      <w:spacing w:after="0"/>
      <w:ind w:firstLine="560" w:firstLineChars="200"/>
      <w:jc w:val="both"/>
    </w:pPr>
    <w:rPr>
      <w:rFonts w:eastAsia="仿宋_GB2312" w:cs="宋体" w:asciiTheme="minorHAnsi" w:hAnsiTheme="minorHAnsi"/>
      <w:kern w:val="2"/>
      <w:sz w:val="28"/>
    </w:rPr>
  </w:style>
  <w:style w:type="character" w:customStyle="1" w:styleId="16">
    <w:name w:val="纯文本 字符1"/>
    <w:link w:val="6"/>
    <w:qFormat/>
    <w:uiPriority w:val="0"/>
    <w:rPr>
      <w:rFonts w:ascii="宋体" w:eastAsia="宋体" w:cs="Courier New"/>
      <w:kern w:val="2"/>
      <w:sz w:val="21"/>
      <w:szCs w:val="21"/>
    </w:rPr>
  </w:style>
  <w:style w:type="character" w:customStyle="1" w:styleId="17">
    <w:name w:val="纯文本 Char1"/>
    <w:basedOn w:val="11"/>
    <w:semiHidden/>
    <w:qFormat/>
    <w:uiPriority w:val="99"/>
    <w:rPr>
      <w:rFonts w:ascii="宋体" w:hAnsi="Courier New" w:eastAsia="宋体" w:cs="Courier New"/>
      <w:sz w:val="21"/>
      <w:szCs w:val="21"/>
    </w:rPr>
  </w:style>
  <w:style w:type="character" w:customStyle="1" w:styleId="18">
    <w:name w:val="正文文本 字符"/>
    <w:basedOn w:val="11"/>
    <w:link w:val="5"/>
    <w:qFormat/>
    <w:uiPriority w:val="0"/>
    <w:rPr>
      <w:rFonts w:ascii="宋体" w:hAnsi="宋体" w:eastAsia="宋体" w:cs="宋体"/>
      <w:sz w:val="24"/>
      <w:szCs w:val="24"/>
      <w:lang w:val="zh-CN" w:bidi="zh-CN"/>
    </w:rPr>
  </w:style>
  <w:style w:type="character" w:customStyle="1" w:styleId="19">
    <w:name w:val="文档结构图 字符"/>
    <w:basedOn w:val="11"/>
    <w:link w:val="4"/>
    <w:semiHidden/>
    <w:qFormat/>
    <w:uiPriority w:val="99"/>
    <w:rPr>
      <w:rFonts w:ascii="宋体" w:hAnsi="Tahoma" w:eastAsia="宋体"/>
      <w:sz w:val="18"/>
      <w:szCs w:val="18"/>
    </w:rPr>
  </w:style>
  <w:style w:type="character" w:customStyle="1" w:styleId="20">
    <w:name w:val="正文缩进 字符"/>
    <w:link w:val="2"/>
    <w:qFormat/>
    <w:uiPriority w:val="0"/>
    <w:rPr>
      <w:rFonts w:eastAsia="宋体"/>
      <w:kern w:val="2"/>
      <w:sz w:val="21"/>
      <w:szCs w:val="24"/>
    </w:rPr>
  </w:style>
  <w:style w:type="paragraph" w:customStyle="1" w:styleId="21">
    <w:name w:val="表头"/>
    <w:basedOn w:val="3"/>
    <w:qFormat/>
    <w:uiPriority w:val="99"/>
    <w:pPr>
      <w:keepNext/>
      <w:keepLines/>
      <w:adjustRightInd/>
      <w:snapToGrid/>
      <w:spacing w:before="120" w:after="120" w:line="300" w:lineRule="auto"/>
      <w:jc w:val="center"/>
      <w:textAlignment w:val="baseline"/>
    </w:pPr>
    <w:rPr>
      <w:rFonts w:ascii="Arial" w:hAnsi="Arial" w:cs="Times New Roman"/>
      <w:sz w:val="21"/>
    </w:rPr>
  </w:style>
  <w:style w:type="character" w:customStyle="1" w:styleId="22">
    <w:name w:val="纯文本 字符"/>
    <w:qFormat/>
    <w:uiPriority w:val="99"/>
    <w:rPr>
      <w:rFonts w:ascii="宋体" w:hAnsi="Courier New"/>
      <w:kern w:val="2"/>
      <w:sz w:val="24"/>
    </w:rPr>
  </w:style>
  <w:style w:type="character" w:customStyle="1" w:styleId="23">
    <w:name w:val="批注框文本 字符"/>
    <w:basedOn w:val="11"/>
    <w:link w:val="7"/>
    <w:semiHidden/>
    <w:qFormat/>
    <w:uiPriority w:val="99"/>
    <w:rPr>
      <w:rFonts w:ascii="Tahoma" w:hAnsi="Tahoma"/>
      <w:sz w:val="18"/>
      <w:szCs w:val="18"/>
    </w:rPr>
  </w:style>
  <w:style w:type="paragraph" w:customStyle="1" w:styleId="24">
    <w:name w:val="Revision"/>
    <w:hidden/>
    <w:semiHidden/>
    <w:qFormat/>
    <w:uiPriority w:val="99"/>
    <w:pPr>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697</Words>
  <Characters>697</Characters>
  <Lines>48</Lines>
  <Paragraphs>13</Paragraphs>
  <TotalTime>24</TotalTime>
  <ScaleCrop>false</ScaleCrop>
  <LinksUpToDate>false</LinksUpToDate>
  <CharactersWithSpaces>706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黄勇刚</cp:lastModifiedBy>
  <dcterms:modified xsi:type="dcterms:W3CDTF">2023-12-09T00:06:20Z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8A39321A5EA34763969DF5A45D8776C7</vt:lpwstr>
  </property>
</Properties>
</file>