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80" w:lineRule="exact"/>
        <w:ind w:firstLine="880" w:firstLineChars="200"/>
        <w:jc w:val="center"/>
        <w:outlineLvl w:val="1"/>
        <w:rPr>
          <w:rFonts w:ascii="方正仿宋_GBK" w:hAnsi="方正仿宋_GBK" w:eastAsia="方正仿宋_GBK" w:cs="方正仿宋_GBK"/>
          <w:bCs/>
          <w:sz w:val="44"/>
          <w:szCs w:val="44"/>
        </w:rPr>
      </w:pPr>
      <w:r>
        <w:rPr>
          <w:rFonts w:hint="eastAsia" w:ascii="方正仿宋_GBK" w:hAnsi="方正仿宋_GBK" w:eastAsia="方正仿宋_GBK" w:cs="方正仿宋_GBK"/>
          <w:bCs/>
          <w:sz w:val="44"/>
          <w:szCs w:val="44"/>
          <w:u w:val="single"/>
        </w:rPr>
        <w:t>智能采血平台运维服务</w:t>
      </w:r>
      <w:r>
        <w:rPr>
          <w:rFonts w:hint="eastAsia" w:ascii="方正仿宋_GBK" w:hAnsi="方正仿宋_GBK" w:eastAsia="方正仿宋_GBK" w:cs="方正仿宋_GBK"/>
          <w:bCs/>
          <w:sz w:val="44"/>
          <w:szCs w:val="44"/>
        </w:rPr>
        <w:t>采购项目需求书</w:t>
      </w:r>
    </w:p>
    <w:p/>
    <w:p>
      <w:pPr>
        <w:pStyle w:val="6"/>
        <w:adjustRightInd w:val="0"/>
        <w:snapToGrid w:val="0"/>
        <w:spacing w:line="580" w:lineRule="exact"/>
        <w:ind w:firstLine="640" w:firstLineChars="200"/>
        <w:outlineLvl w:val="1"/>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一、采购项目技术要求</w:t>
      </w:r>
    </w:p>
    <w:p>
      <w:pPr>
        <w:pStyle w:val="6"/>
        <w:adjustRightInd w:val="0"/>
        <w:snapToGrid w:val="0"/>
        <w:spacing w:line="580" w:lineRule="exact"/>
        <w:ind w:firstLine="640" w:firstLineChars="200"/>
        <w:outlineLvl w:val="1"/>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（一）项目概况</w:t>
      </w:r>
    </w:p>
    <w:p>
      <w:pPr>
        <w:pStyle w:val="6"/>
        <w:numPr>
          <w:ilvl w:val="0"/>
          <w:numId w:val="1"/>
        </w:numPr>
        <w:adjustRightInd w:val="0"/>
        <w:snapToGrid w:val="0"/>
        <w:spacing w:line="58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b/>
          <w:sz w:val="30"/>
          <w:szCs w:val="30"/>
        </w:rPr>
        <w:t>惠州市第六人民医院智能采血平台系统运维服务</w:t>
      </w:r>
    </w:p>
    <w:p>
      <w:pPr>
        <w:widowControl w:val="0"/>
        <w:numPr>
          <w:ilvl w:val="0"/>
          <w:numId w:val="1"/>
        </w:numPr>
        <w:adjustRightInd/>
        <w:snapToGrid/>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人：惠州市第六人民医院</w:t>
      </w:r>
    </w:p>
    <w:p>
      <w:pPr>
        <w:widowControl w:val="0"/>
        <w:numPr>
          <w:ilvl w:val="0"/>
          <w:numId w:val="1"/>
        </w:numPr>
        <w:adjustRightInd/>
        <w:snapToGrid/>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项目地点：惠州市第六人民医院</w:t>
      </w:r>
    </w:p>
    <w:p>
      <w:pPr>
        <w:spacing w:after="0" w:line="580" w:lineRule="exact"/>
        <w:ind w:firstLine="640" w:firstLineChars="200"/>
        <w:jc w:val="both"/>
        <w:rPr>
          <w:rFonts w:ascii="方正仿宋_GBK" w:hAnsi="方正仿宋_GBK" w:eastAsia="方正仿宋_GBK" w:cs="方正仿宋_GBK"/>
          <w:b/>
          <w:sz w:val="32"/>
          <w:szCs w:val="32"/>
        </w:rPr>
      </w:pPr>
      <w:r>
        <w:rPr>
          <w:rFonts w:hint="eastAsia" w:ascii="方正黑体_GBK" w:hAnsi="方正黑体_GBK" w:eastAsia="方正黑体_GBK" w:cs="方正黑体_GBK"/>
          <w:bCs/>
          <w:kern w:val="2"/>
          <w:sz w:val="32"/>
          <w:szCs w:val="32"/>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智能采血平台系统运维服务</w:t>
            </w:r>
          </w:p>
        </w:tc>
        <w:tc>
          <w:tcPr>
            <w:tcW w:w="3855"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智能采血平台系统运维</w:t>
            </w:r>
          </w:p>
        </w:tc>
        <w:tc>
          <w:tcPr>
            <w:tcW w:w="1020"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1年</w:t>
            </w:r>
          </w:p>
        </w:tc>
        <w:tc>
          <w:tcPr>
            <w:tcW w:w="2029" w:type="dxa"/>
            <w:vAlign w:val="center"/>
          </w:tcPr>
          <w:p>
            <w:pPr>
              <w:spacing w:after="0" w:line="580" w:lineRule="exact"/>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5万</w:t>
            </w:r>
          </w:p>
        </w:tc>
      </w:tr>
    </w:tbl>
    <w:p>
      <w:pPr>
        <w:spacing w:after="0" w:line="580" w:lineRule="exact"/>
        <w:jc w:val="both"/>
        <w:rPr>
          <w:rFonts w:ascii="方正仿宋_GBK" w:hAnsi="方正仿宋_GBK" w:eastAsia="方正仿宋_GBK" w:cs="方正仿宋_GBK"/>
          <w:sz w:val="32"/>
          <w:szCs w:val="32"/>
        </w:rPr>
      </w:pPr>
    </w:p>
    <w:p>
      <w:pPr>
        <w:spacing w:after="0" w:line="580" w:lineRule="exact"/>
        <w:jc w:val="both"/>
        <w:rPr>
          <w:rFonts w:ascii="方正仿宋_GBK" w:hAnsi="方正仿宋_GBK" w:eastAsia="方正仿宋_GBK" w:cs="方正仿宋_GBK"/>
          <w:sz w:val="32"/>
          <w:szCs w:val="32"/>
        </w:rPr>
      </w:pPr>
      <w:bookmarkStart w:id="0" w:name="_Toc26817945"/>
    </w:p>
    <w:p>
      <w:pPr>
        <w:numPr>
          <w:ilvl w:val="0"/>
          <w:numId w:val="2"/>
        </w:num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详细技术要求</w:t>
      </w:r>
    </w:p>
    <w:p>
      <w:pPr>
        <w:spacing w:after="0" w:line="580" w:lineRule="exact"/>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1.本次服务费用明细包含以下内容，需进行项目整体报价</w:t>
      </w:r>
    </w:p>
    <w:tbl>
      <w:tblPr>
        <w:tblStyle w:val="10"/>
        <w:tblW w:w="6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670"/>
        <w:gridCol w:w="719"/>
        <w:gridCol w:w="788"/>
        <w:gridCol w:w="2548"/>
        <w:gridCol w:w="1409"/>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4" w:type="dxa"/>
            <w:vAlign w:val="center"/>
          </w:tcPr>
          <w:p>
            <w:pPr>
              <w:rPr>
                <w:rFonts w:ascii="仿宋" w:hAnsi="仿宋" w:eastAsia="仿宋"/>
                <w:sz w:val="32"/>
                <w:szCs w:val="32"/>
              </w:rPr>
            </w:pPr>
            <w:r>
              <w:rPr>
                <w:rFonts w:hint="eastAsia" w:ascii="仿宋" w:hAnsi="仿宋" w:eastAsia="仿宋"/>
                <w:sz w:val="32"/>
                <w:szCs w:val="32"/>
              </w:rPr>
              <w:t>序号</w:t>
            </w:r>
          </w:p>
        </w:tc>
        <w:tc>
          <w:tcPr>
            <w:tcW w:w="2670" w:type="dxa"/>
            <w:vAlign w:val="center"/>
          </w:tcPr>
          <w:p>
            <w:pPr>
              <w:rPr>
                <w:rFonts w:ascii="仿宋" w:hAnsi="仿宋" w:eastAsia="仿宋"/>
                <w:sz w:val="32"/>
                <w:szCs w:val="32"/>
              </w:rPr>
            </w:pPr>
            <w:r>
              <w:rPr>
                <w:rFonts w:hint="eastAsia" w:ascii="仿宋" w:hAnsi="仿宋" w:eastAsia="仿宋"/>
                <w:sz w:val="32"/>
                <w:szCs w:val="32"/>
              </w:rPr>
              <w:t>品目名称</w:t>
            </w:r>
          </w:p>
        </w:tc>
        <w:tc>
          <w:tcPr>
            <w:tcW w:w="719" w:type="dxa"/>
            <w:vAlign w:val="center"/>
          </w:tcPr>
          <w:p>
            <w:pPr>
              <w:rPr>
                <w:rFonts w:ascii="仿宋" w:hAnsi="仿宋" w:eastAsia="仿宋"/>
                <w:sz w:val="32"/>
                <w:szCs w:val="32"/>
              </w:rPr>
            </w:pPr>
            <w:r>
              <w:rPr>
                <w:rFonts w:hint="eastAsia" w:ascii="仿宋" w:hAnsi="仿宋" w:eastAsia="仿宋"/>
                <w:sz w:val="32"/>
                <w:szCs w:val="32"/>
              </w:rPr>
              <w:t>单位</w:t>
            </w:r>
          </w:p>
        </w:tc>
        <w:tc>
          <w:tcPr>
            <w:tcW w:w="788" w:type="dxa"/>
            <w:vAlign w:val="center"/>
          </w:tcPr>
          <w:p>
            <w:pPr>
              <w:rPr>
                <w:rFonts w:ascii="仿宋" w:hAnsi="仿宋" w:eastAsia="仿宋"/>
                <w:sz w:val="32"/>
                <w:szCs w:val="32"/>
              </w:rPr>
            </w:pPr>
            <w:r>
              <w:rPr>
                <w:rFonts w:hint="eastAsia" w:ascii="仿宋" w:hAnsi="仿宋" w:eastAsia="仿宋"/>
                <w:sz w:val="32"/>
                <w:szCs w:val="32"/>
              </w:rPr>
              <w:t>数量</w:t>
            </w:r>
          </w:p>
        </w:tc>
        <w:tc>
          <w:tcPr>
            <w:tcW w:w="2548" w:type="dxa"/>
            <w:vAlign w:val="center"/>
          </w:tcPr>
          <w:p>
            <w:pPr>
              <w:rPr>
                <w:rFonts w:ascii="仿宋" w:hAnsi="仿宋" w:eastAsia="仿宋"/>
                <w:sz w:val="32"/>
                <w:szCs w:val="32"/>
              </w:rPr>
            </w:pPr>
            <w:r>
              <w:rPr>
                <w:rFonts w:hint="eastAsia" w:ascii="仿宋" w:hAnsi="仿宋" w:eastAsia="仿宋"/>
                <w:sz w:val="32"/>
                <w:szCs w:val="32"/>
              </w:rPr>
              <w:t>参数要求</w:t>
            </w:r>
          </w:p>
        </w:tc>
        <w:tc>
          <w:tcPr>
            <w:tcW w:w="1409" w:type="dxa"/>
            <w:vAlign w:val="center"/>
          </w:tcPr>
          <w:p>
            <w:pPr>
              <w:rPr>
                <w:rFonts w:ascii="仿宋" w:hAnsi="仿宋" w:eastAsia="仿宋"/>
                <w:sz w:val="32"/>
                <w:szCs w:val="32"/>
              </w:rPr>
            </w:pPr>
            <w:r>
              <w:rPr>
                <w:rFonts w:hint="eastAsia" w:ascii="仿宋" w:hAnsi="仿宋" w:eastAsia="仿宋"/>
                <w:sz w:val="32"/>
                <w:szCs w:val="32"/>
              </w:rPr>
              <w:t>单价（元）</w:t>
            </w:r>
          </w:p>
        </w:tc>
        <w:tc>
          <w:tcPr>
            <w:tcW w:w="1454" w:type="dxa"/>
            <w:vAlign w:val="center"/>
          </w:tcPr>
          <w:p>
            <w:pPr>
              <w:rPr>
                <w:rFonts w:ascii="仿宋" w:hAnsi="仿宋" w:eastAsia="仿宋"/>
                <w:sz w:val="32"/>
                <w:szCs w:val="32"/>
              </w:rPr>
            </w:pPr>
            <w:r>
              <w:rPr>
                <w:rFonts w:hint="eastAsia" w:ascii="仿宋" w:hAnsi="仿宋" w:eastAsia="仿宋"/>
                <w:sz w:val="32"/>
                <w:szCs w:val="32"/>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rPr>
                <w:rFonts w:ascii="仿宋" w:hAnsi="仿宋" w:eastAsia="仿宋"/>
                <w:sz w:val="32"/>
                <w:szCs w:val="32"/>
              </w:rPr>
            </w:pPr>
            <w:r>
              <w:rPr>
                <w:rFonts w:hint="eastAsia" w:ascii="仿宋" w:hAnsi="仿宋" w:eastAsia="仿宋"/>
                <w:sz w:val="32"/>
                <w:szCs w:val="32"/>
              </w:rPr>
              <w:t>1</w:t>
            </w:r>
          </w:p>
        </w:tc>
        <w:tc>
          <w:tcPr>
            <w:tcW w:w="2670" w:type="dxa"/>
            <w:vAlign w:val="center"/>
          </w:tcPr>
          <w:p>
            <w:pPr>
              <w:rPr>
                <w:rFonts w:hint="eastAsia" w:ascii="仿宋" w:hAnsi="仿宋" w:eastAsia="仿宋"/>
                <w:sz w:val="32"/>
                <w:szCs w:val="32"/>
              </w:rPr>
            </w:pPr>
            <w:r>
              <w:rPr>
                <w:rFonts w:hint="eastAsia" w:ascii="仿宋" w:hAnsi="仿宋" w:eastAsia="仿宋"/>
                <w:sz w:val="32"/>
                <w:szCs w:val="32"/>
              </w:rPr>
              <w:t>创惠智能采血贴标设备</w:t>
            </w:r>
            <w:r>
              <w:rPr>
                <w:rFonts w:ascii="仿宋" w:hAnsi="仿宋" w:eastAsia="仿宋"/>
                <w:sz w:val="32"/>
                <w:szCs w:val="32"/>
              </w:rPr>
              <w:t>CH-ZTD01</w:t>
            </w:r>
          </w:p>
        </w:tc>
        <w:tc>
          <w:tcPr>
            <w:tcW w:w="719" w:type="dxa"/>
            <w:vAlign w:val="center"/>
          </w:tcPr>
          <w:p>
            <w:pPr>
              <w:rPr>
                <w:rFonts w:ascii="仿宋" w:hAnsi="仿宋" w:eastAsia="仿宋"/>
                <w:sz w:val="32"/>
                <w:szCs w:val="32"/>
              </w:rPr>
            </w:pPr>
            <w:r>
              <w:rPr>
                <w:rFonts w:hint="eastAsia" w:ascii="仿宋" w:hAnsi="仿宋" w:eastAsia="仿宋"/>
                <w:sz w:val="32"/>
                <w:szCs w:val="32"/>
              </w:rPr>
              <w:t>台</w:t>
            </w:r>
          </w:p>
        </w:tc>
        <w:tc>
          <w:tcPr>
            <w:tcW w:w="788" w:type="dxa"/>
            <w:vAlign w:val="center"/>
          </w:tcPr>
          <w:p>
            <w:pPr>
              <w:rPr>
                <w:rFonts w:ascii="仿宋" w:hAnsi="仿宋" w:eastAsia="仿宋"/>
                <w:sz w:val="32"/>
                <w:szCs w:val="32"/>
              </w:rPr>
            </w:pPr>
            <w:r>
              <w:rPr>
                <w:rFonts w:hint="eastAsia" w:ascii="仿宋" w:hAnsi="仿宋" w:eastAsia="仿宋"/>
                <w:sz w:val="32"/>
                <w:szCs w:val="32"/>
              </w:rPr>
              <w:t>3</w:t>
            </w:r>
          </w:p>
        </w:tc>
        <w:tc>
          <w:tcPr>
            <w:tcW w:w="2548" w:type="dxa"/>
            <w:vAlign w:val="center"/>
          </w:tcPr>
          <w:p>
            <w:pPr>
              <w:rPr>
                <w:rFonts w:hint="eastAsia" w:ascii="仿宋" w:hAnsi="仿宋" w:eastAsia="仿宋"/>
                <w:sz w:val="32"/>
                <w:szCs w:val="32"/>
              </w:rPr>
            </w:pPr>
            <w:r>
              <w:rPr>
                <w:rFonts w:hint="eastAsia" w:ascii="仿宋" w:hAnsi="仿宋" w:eastAsia="仿宋"/>
                <w:sz w:val="32"/>
                <w:szCs w:val="32"/>
              </w:rPr>
              <w:t>详见“2维保</w:t>
            </w:r>
            <w:r>
              <w:rPr>
                <w:rFonts w:ascii="仿宋" w:hAnsi="仿宋" w:eastAsia="仿宋"/>
                <w:sz w:val="32"/>
                <w:szCs w:val="32"/>
              </w:rPr>
              <w:t>内容构成</w:t>
            </w:r>
            <w:r>
              <w:rPr>
                <w:rFonts w:hint="eastAsia" w:ascii="仿宋" w:hAnsi="仿宋" w:eastAsia="仿宋"/>
                <w:sz w:val="32"/>
                <w:szCs w:val="32"/>
              </w:rPr>
              <w:t>”</w:t>
            </w:r>
          </w:p>
        </w:tc>
        <w:tc>
          <w:tcPr>
            <w:tcW w:w="1409" w:type="dxa"/>
            <w:vAlign w:val="center"/>
          </w:tcPr>
          <w:p>
            <w:pPr>
              <w:rPr>
                <w:rFonts w:hint="eastAsia" w:ascii="仿宋" w:hAnsi="仿宋" w:eastAsia="仿宋"/>
                <w:sz w:val="32"/>
                <w:szCs w:val="32"/>
              </w:rPr>
            </w:pPr>
          </w:p>
        </w:tc>
        <w:tc>
          <w:tcPr>
            <w:tcW w:w="1454" w:type="dxa"/>
            <w:vAlign w:val="center"/>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4" w:type="dxa"/>
            <w:vAlign w:val="center"/>
          </w:tcPr>
          <w:p>
            <w:pPr>
              <w:rPr>
                <w:rFonts w:hint="eastAsia" w:ascii="仿宋" w:hAnsi="仿宋" w:eastAsia="仿宋"/>
                <w:sz w:val="32"/>
                <w:szCs w:val="32"/>
              </w:rPr>
            </w:pPr>
            <w:r>
              <w:rPr>
                <w:rFonts w:hint="eastAsia" w:ascii="仿宋" w:hAnsi="仿宋" w:eastAsia="仿宋"/>
                <w:sz w:val="32"/>
                <w:szCs w:val="32"/>
              </w:rPr>
              <w:t>2</w:t>
            </w:r>
          </w:p>
        </w:tc>
        <w:tc>
          <w:tcPr>
            <w:tcW w:w="2670" w:type="dxa"/>
            <w:vAlign w:val="center"/>
          </w:tcPr>
          <w:p>
            <w:pPr>
              <w:rPr>
                <w:rFonts w:ascii="仿宋" w:hAnsi="仿宋" w:eastAsia="仿宋"/>
                <w:sz w:val="32"/>
                <w:szCs w:val="32"/>
              </w:rPr>
            </w:pPr>
            <w:r>
              <w:rPr>
                <w:rFonts w:hint="eastAsia" w:ascii="仿宋" w:hAnsi="仿宋" w:eastAsia="仿宋"/>
                <w:sz w:val="32"/>
                <w:szCs w:val="32"/>
              </w:rPr>
              <w:t>创惠智能采血信息管理软件 V1.0</w:t>
            </w:r>
          </w:p>
        </w:tc>
        <w:tc>
          <w:tcPr>
            <w:tcW w:w="719" w:type="dxa"/>
            <w:vAlign w:val="center"/>
          </w:tcPr>
          <w:p>
            <w:pPr>
              <w:rPr>
                <w:rFonts w:ascii="仿宋" w:hAnsi="仿宋" w:eastAsia="仿宋"/>
                <w:sz w:val="32"/>
                <w:szCs w:val="32"/>
              </w:rPr>
            </w:pPr>
            <w:r>
              <w:rPr>
                <w:rFonts w:hint="eastAsia" w:ascii="仿宋" w:hAnsi="仿宋" w:eastAsia="仿宋"/>
                <w:sz w:val="32"/>
                <w:szCs w:val="32"/>
              </w:rPr>
              <w:t>套</w:t>
            </w:r>
          </w:p>
        </w:tc>
        <w:tc>
          <w:tcPr>
            <w:tcW w:w="788" w:type="dxa"/>
            <w:vAlign w:val="center"/>
          </w:tcPr>
          <w:p>
            <w:pPr>
              <w:rPr>
                <w:rFonts w:ascii="仿宋" w:hAnsi="仿宋" w:eastAsia="仿宋"/>
                <w:sz w:val="32"/>
                <w:szCs w:val="32"/>
              </w:rPr>
            </w:pPr>
            <w:r>
              <w:rPr>
                <w:rFonts w:hint="eastAsia" w:ascii="仿宋" w:hAnsi="仿宋" w:eastAsia="仿宋"/>
                <w:sz w:val="32"/>
                <w:szCs w:val="32"/>
              </w:rPr>
              <w:t>3</w:t>
            </w:r>
          </w:p>
        </w:tc>
        <w:tc>
          <w:tcPr>
            <w:tcW w:w="2548" w:type="dxa"/>
            <w:vAlign w:val="center"/>
          </w:tcPr>
          <w:p>
            <w:pPr>
              <w:rPr>
                <w:rFonts w:ascii="仿宋" w:hAnsi="仿宋" w:eastAsia="仿宋"/>
                <w:sz w:val="32"/>
                <w:szCs w:val="32"/>
              </w:rPr>
            </w:pPr>
            <w:r>
              <w:rPr>
                <w:rFonts w:hint="eastAsia" w:ascii="仿宋" w:hAnsi="仿宋" w:eastAsia="仿宋"/>
                <w:sz w:val="32"/>
                <w:szCs w:val="32"/>
              </w:rPr>
              <w:t>详见“2维保</w:t>
            </w:r>
            <w:r>
              <w:rPr>
                <w:rFonts w:ascii="仿宋" w:hAnsi="仿宋" w:eastAsia="仿宋"/>
                <w:sz w:val="32"/>
                <w:szCs w:val="32"/>
              </w:rPr>
              <w:t>内容构成</w:t>
            </w:r>
            <w:r>
              <w:rPr>
                <w:rFonts w:hint="eastAsia" w:ascii="仿宋" w:hAnsi="仿宋" w:eastAsia="仿宋"/>
                <w:sz w:val="32"/>
                <w:szCs w:val="32"/>
              </w:rPr>
              <w:t>”</w:t>
            </w:r>
          </w:p>
        </w:tc>
        <w:tc>
          <w:tcPr>
            <w:tcW w:w="1409" w:type="dxa"/>
            <w:vAlign w:val="center"/>
          </w:tcPr>
          <w:p>
            <w:pPr>
              <w:rPr>
                <w:rFonts w:ascii="仿宋" w:hAnsi="仿宋" w:eastAsia="仿宋"/>
                <w:sz w:val="32"/>
                <w:szCs w:val="32"/>
              </w:rPr>
            </w:pPr>
          </w:p>
        </w:tc>
        <w:tc>
          <w:tcPr>
            <w:tcW w:w="1454" w:type="dxa"/>
            <w:vAlign w:val="center"/>
          </w:tcPr>
          <w:p>
            <w:pPr>
              <w:rPr>
                <w:rFonts w:ascii="仿宋" w:hAnsi="仿宋" w:eastAsia="仿宋"/>
                <w:sz w:val="32"/>
                <w:szCs w:val="32"/>
              </w:rPr>
            </w:pPr>
          </w:p>
        </w:tc>
      </w:tr>
    </w:tbl>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1）操作指导：系统电子操作说明手册，可在业务软件上直接打开查看，维保期内每半年更新一次；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质保期间由原厂认证工程师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7）应用迁移：协助进行应用迁移，提供必要的支持和指导；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10）维护培训：对业务部门人员及主管系统人员，进行系统操作、维护培训；公司提供系统运行状况检查方案及脚本并负责培训甲方工程师，每半年升级更新内容。</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2.2网络安全服务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1）网络安全等级评审：配合对系统进行网络安全等级评审，对存在问题进行完善修复并达到相关等级；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2）安全更新：对网络安全漏洞提供修复补丁包服务，优化网络安全性能，在公司推出同版本的新升级程序后，对客户系统进行升级；</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2.3接口运维服务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3）运维期内能够与医院现用医务管理系统做到无缝对接，共用一套组织机构与人员信息。</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2.4数据库运维服务</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5）数据迁移：协助进行数据库迁移，提供必要的支持和指导；</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spacing w:line="58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spacing w:line="580" w:lineRule="exact"/>
        <w:ind w:firstLine="640"/>
        <w:rPr>
          <w:rFonts w:ascii="方正仿宋_GBK" w:hAnsi="方正仿宋_GBK" w:eastAsia="方正仿宋_GBK" w:cs="方正仿宋_GBK"/>
          <w:sz w:val="32"/>
          <w:szCs w:val="32"/>
        </w:rPr>
      </w:pPr>
    </w:p>
    <w:p>
      <w:p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二、采购项目商务要求</w:t>
      </w:r>
      <w:bookmarkEnd w:id="0"/>
    </w:p>
    <w:p>
      <w:p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（一）报价要求</w:t>
      </w:r>
    </w:p>
    <w:p>
      <w:pPr>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spacing w:after="0" w:line="580" w:lineRule="exact"/>
        <w:ind w:firstLine="640" w:firstLineChars="200"/>
        <w:jc w:val="both"/>
        <w:rPr>
          <w:rFonts w:ascii="方正仿宋_GBK" w:hAnsi="方正仿宋_GBK" w:eastAsia="方正仿宋_GBK" w:cs="方正仿宋_GBK"/>
          <w:b/>
          <w:sz w:val="32"/>
          <w:szCs w:val="32"/>
          <w:lang w:val="hr-HR"/>
        </w:rPr>
      </w:pPr>
      <w:r>
        <w:rPr>
          <w:rFonts w:hint="eastAsia" w:ascii="方正黑体_GBK" w:hAnsi="方正黑体_GBK" w:eastAsia="方正黑体_GBK" w:cs="方正黑体_GBK"/>
          <w:bCs/>
          <w:kern w:val="2"/>
          <w:sz w:val="32"/>
          <w:szCs w:val="32"/>
        </w:rPr>
        <w:t>（二）</w:t>
      </w:r>
      <w:r>
        <w:rPr>
          <w:rFonts w:hint="eastAsia" w:ascii="方正黑体_GBK" w:hAnsi="方正黑体_GBK" w:eastAsia="方正黑体_GBK" w:cs="方正黑体_GBK"/>
          <w:bCs/>
          <w:kern w:val="2"/>
          <w:sz w:val="32"/>
          <w:szCs w:val="32"/>
          <w:lang w:val="hr-HR"/>
        </w:rPr>
        <w:t>服务期限</w:t>
      </w:r>
    </w:p>
    <w:p>
      <w:pPr>
        <w:spacing w:after="0" w:line="580" w:lineRule="exact"/>
        <w:ind w:firstLine="480"/>
        <w:jc w:val="both"/>
        <w:rPr>
          <w:rFonts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rPr>
        <w:t xml:space="preserve"> 1年 </w:t>
      </w:r>
      <w:r>
        <w:rPr>
          <w:rFonts w:hint="eastAsia" w:ascii="方正仿宋_GBK" w:hAnsi="方正仿宋_GBK" w:eastAsia="方正仿宋_GBK" w:cs="方正仿宋_GBK"/>
          <w:sz w:val="32"/>
          <w:szCs w:val="32"/>
        </w:rPr>
        <w:t>，自合同签订之日起开始计算服务期限。</w:t>
      </w:r>
    </w:p>
    <w:p>
      <w:pPr>
        <w:numPr>
          <w:ilvl w:val="0"/>
          <w:numId w:val="2"/>
        </w:numPr>
        <w:spacing w:after="0" w:line="580" w:lineRule="exact"/>
        <w:ind w:firstLine="640" w:firstLineChars="200"/>
        <w:jc w:val="both"/>
        <w:rPr>
          <w:rFonts w:ascii="方正黑体_GBK" w:hAnsi="方正黑体_GBK" w:eastAsia="方正黑体_GBK" w:cs="方正黑体_GBK"/>
          <w:bCs/>
          <w:kern w:val="2"/>
          <w:sz w:val="32"/>
          <w:szCs w:val="32"/>
        </w:rPr>
      </w:pPr>
      <w:r>
        <w:rPr>
          <w:rFonts w:hint="eastAsia" w:ascii="方正黑体_GBK" w:hAnsi="方正黑体_GBK" w:eastAsia="方正黑体_GBK" w:cs="方正黑体_GBK"/>
          <w:bCs/>
          <w:kern w:val="2"/>
          <w:sz w:val="32"/>
          <w:szCs w:val="32"/>
        </w:rPr>
        <w:t>服务地点：惠州市第六人民医院</w:t>
      </w:r>
    </w:p>
    <w:p>
      <w:pPr>
        <w:numPr>
          <w:ilvl w:val="0"/>
          <w:numId w:val="2"/>
        </w:numPr>
        <w:spacing w:after="0" w:line="58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bCs/>
          <w:kern w:val="2"/>
          <w:sz w:val="32"/>
          <w:szCs w:val="32"/>
        </w:rPr>
        <w:t>结算方式：</w:t>
      </w:r>
    </w:p>
    <w:p>
      <w:pPr>
        <w:spacing w:after="0" w:line="580" w:lineRule="exact"/>
        <w:ind w:firstLine="640" w:firstLineChars="200"/>
        <w:jc w:val="both"/>
        <w:rPr>
          <w:rFonts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spacing w:after="0" w:line="580" w:lineRule="exact"/>
        <w:ind w:firstLine="640" w:firstLineChars="200"/>
        <w:jc w:val="both"/>
        <w:rPr>
          <w:rFonts w:ascii="方正仿宋_GBK" w:hAnsi="方正仿宋_GBK" w:eastAsia="方正仿宋_GBK" w:cs="方正仿宋_GBK"/>
          <w:b/>
          <w:sz w:val="32"/>
          <w:szCs w:val="32"/>
        </w:rPr>
      </w:pPr>
      <w:r>
        <w:rPr>
          <w:rFonts w:hint="eastAsia" w:ascii="方正黑体_GBK" w:hAnsi="方正黑体_GBK" w:eastAsia="方正黑体_GBK" w:cs="方正黑体_GBK"/>
          <w:bCs/>
          <w:kern w:val="2"/>
          <w:sz w:val="32"/>
          <w:szCs w:val="32"/>
        </w:rPr>
        <w:t>（六）付款方式：</w:t>
      </w:r>
    </w:p>
    <w:p>
      <w:pPr>
        <w:autoSpaceDE w:val="0"/>
        <w:autoSpaceDN w:val="0"/>
        <w:spacing w:after="0"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（1）维护期一半时支付合同金额的50%，在供应商提供发票30个工作日内完成支付。维护期结束时，使用科室验收后，支付合同金额的50%，在供应商提供发票30个工作日内完成支付。</w:t>
      </w:r>
    </w:p>
    <w:p>
      <w:pPr>
        <w:autoSpaceDE w:val="0"/>
        <w:autoSpaceDN w:val="0"/>
        <w:spacing w:after="0" w:line="580" w:lineRule="exact"/>
        <w:ind w:firstLine="640" w:firstLineChars="200"/>
        <w:jc w:val="both"/>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（2）采购人不承担因财政资金不能及时到位给成交供应商造成的任何损失。</w:t>
      </w:r>
      <w:bookmarkStart w:id="1" w:name="_GoBack"/>
      <w:bookmarkEnd w:id="1"/>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BF5A285-AD43-4021-A437-8404FF919BEC}"/>
  </w:font>
  <w:font w:name="微软雅黑">
    <w:panose1 w:val="020B0503020204020204"/>
    <w:charset w:val="86"/>
    <w:family w:val="swiss"/>
    <w:pitch w:val="default"/>
    <w:sig w:usb0="80000287" w:usb1="2ACF3C50" w:usb2="00000016" w:usb3="00000000" w:csb0="0004001F" w:csb1="00000000"/>
    <w:embedRegular r:id="rId2" w:fontKey="{C50B6164-0FB6-4D88-A695-701EB11CA6E1}"/>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embedRegular r:id="rId3" w:fontKey="{E5DA4E5A-7FA2-4790-A66E-74B304CF008B}"/>
  </w:font>
  <w:font w:name="方正黑体_GBK">
    <w:panose1 w:val="02000000000000000000"/>
    <w:charset w:val="86"/>
    <w:family w:val="auto"/>
    <w:pitch w:val="default"/>
    <w:sig w:usb0="A00002BF" w:usb1="38CF7CFA" w:usb2="00082016" w:usb3="00000000" w:csb0="00040001" w:csb1="00000000"/>
    <w:embedRegular r:id="rId4" w:fontKey="{68E62427-7E5F-4896-8788-B1664E57AB77}"/>
  </w:font>
  <w:font w:name="仿宋">
    <w:panose1 w:val="02010609060101010101"/>
    <w:charset w:val="86"/>
    <w:family w:val="modern"/>
    <w:pitch w:val="default"/>
    <w:sig w:usb0="800002BF" w:usb1="38CF7CFA" w:usb2="00000016" w:usb3="00000000" w:csb0="00040001" w:csb1="00000000"/>
    <w:embedRegular r:id="rId5" w:fontKey="{BA454F00-C4CC-423D-BB03-F8ECC8915FF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28021D"/>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CE7D60"/>
    <w:rsid w:val="00D31D50"/>
    <w:rsid w:val="00D42B71"/>
    <w:rsid w:val="00D90927"/>
    <w:rsid w:val="00DF66C9"/>
    <w:rsid w:val="00E667EB"/>
    <w:rsid w:val="00F05BD4"/>
    <w:rsid w:val="00F1239F"/>
    <w:rsid w:val="047201BE"/>
    <w:rsid w:val="187F5606"/>
    <w:rsid w:val="30BD284F"/>
    <w:rsid w:val="492A23F4"/>
    <w:rsid w:val="5D0A2E0A"/>
    <w:rsid w:val="6E946A7C"/>
    <w:rsid w:val="701E3B51"/>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unhideWhenUsed/>
    <w:qFormat/>
    <w:uiPriority w:val="99"/>
    <w:pPr>
      <w:tabs>
        <w:tab w:val="center" w:pos="4153"/>
        <w:tab w:val="right" w:pos="8306"/>
      </w:tabs>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Char"/>
    <w:basedOn w:val="11"/>
    <w:link w:val="9"/>
    <w:qFormat/>
    <w:uiPriority w:val="99"/>
    <w:rPr>
      <w:rFonts w:ascii="Tahoma" w:hAnsi="Tahoma"/>
      <w:sz w:val="18"/>
      <w:szCs w:val="18"/>
    </w:rPr>
  </w:style>
  <w:style w:type="character" w:customStyle="1" w:styleId="13">
    <w:name w:val="页脚 Char"/>
    <w:basedOn w:val="11"/>
    <w:link w:val="8"/>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Char"/>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Char"/>
    <w:basedOn w:val="11"/>
    <w:link w:val="5"/>
    <w:qFormat/>
    <w:uiPriority w:val="0"/>
    <w:rPr>
      <w:rFonts w:ascii="宋体" w:hAnsi="宋体" w:eastAsia="宋体" w:cs="宋体"/>
      <w:sz w:val="24"/>
      <w:szCs w:val="24"/>
      <w:lang w:val="zh-CN" w:bidi="zh-CN"/>
    </w:rPr>
  </w:style>
  <w:style w:type="character" w:customStyle="1" w:styleId="19">
    <w:name w:val="文档结构图 Char"/>
    <w:basedOn w:val="11"/>
    <w:link w:val="4"/>
    <w:semiHidden/>
    <w:qFormat/>
    <w:uiPriority w:val="99"/>
    <w:rPr>
      <w:rFonts w:ascii="宋体" w:hAnsi="Tahoma" w:eastAsia="宋体"/>
      <w:sz w:val="18"/>
      <w:szCs w:val="18"/>
    </w:rPr>
  </w:style>
  <w:style w:type="character" w:customStyle="1" w:styleId="20">
    <w:name w:val="正文缩进 Char"/>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qFormat/>
    <w:uiPriority w:val="99"/>
    <w:rPr>
      <w:rFonts w:ascii="宋体" w:hAnsi="Courier New"/>
      <w:kern w:val="2"/>
      <w:sz w:val="24"/>
    </w:rPr>
  </w:style>
  <w:style w:type="character" w:customStyle="1" w:styleId="23">
    <w:name w:val="批注框文本 Char"/>
    <w:basedOn w:val="11"/>
    <w:link w:val="7"/>
    <w:semiHidden/>
    <w:qFormat/>
    <w:uiPriority w:val="99"/>
    <w:rPr>
      <w:rFonts w:ascii="Tahoma" w:hAnsi="Tahoma"/>
      <w:sz w:val="18"/>
      <w:szCs w:val="18"/>
    </w:rPr>
  </w:style>
  <w:style w:type="paragraph" w:customStyle="1" w:styleId="24">
    <w:name w:val="修订1"/>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Ainuosi</Company>
  <Pages>6</Pages>
  <Words>317</Words>
  <Characters>1810</Characters>
  <Lines>15</Lines>
  <Paragraphs>4</Paragraphs>
  <TotalTime>11</TotalTime>
  <ScaleCrop>false</ScaleCrop>
  <LinksUpToDate>false</LinksUpToDate>
  <CharactersWithSpaces>2123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2023-12-21T00:38:43Z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193219FFB2214708BEA6EA935E550C75_13</vt:lpwstr>
  </property>
</Properties>
</file>