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580" w:lineRule="exact"/>
        <w:ind w:firstLine="880" w:firstLineChars="200"/>
        <w:jc w:val="center"/>
        <w:outlineLvl w:val="1"/>
        <w:rPr>
          <w:rFonts w:ascii="方正仿宋_GBK" w:hAnsi="方正仿宋_GBK" w:eastAsia="方正仿宋_GBK" w:cs="方正仿宋_GBK"/>
          <w:bCs/>
          <w:sz w:val="44"/>
          <w:szCs w:val="44"/>
        </w:rPr>
      </w:pPr>
      <w:r>
        <w:rPr>
          <w:rFonts w:hint="eastAsia" w:ascii="方正仿宋_GBK" w:hAnsi="方正仿宋_GBK" w:eastAsia="方正仿宋_GBK" w:cs="方正仿宋_GBK"/>
          <w:bCs/>
          <w:sz w:val="44"/>
          <w:szCs w:val="44"/>
          <w:u w:val="single"/>
        </w:rPr>
        <w:t>医保质控信息平台系统运维服务</w:t>
      </w:r>
      <w:r>
        <w:rPr>
          <w:rFonts w:hint="eastAsia" w:ascii="方正仿宋_GBK" w:hAnsi="方正仿宋_GBK" w:eastAsia="方正仿宋_GBK" w:cs="方正仿宋_GBK"/>
          <w:bCs/>
          <w:sz w:val="44"/>
          <w:szCs w:val="44"/>
        </w:rPr>
        <w:t>采购项目需求书</w:t>
      </w:r>
    </w:p>
    <w:p/>
    <w:p>
      <w:pPr>
        <w:pStyle w:val="6"/>
        <w:adjustRightInd w:val="0"/>
        <w:snapToGrid w:val="0"/>
        <w:spacing w:line="580" w:lineRule="exact"/>
        <w:ind w:firstLine="640" w:firstLineChars="200"/>
        <w:outlineLvl w:val="1"/>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一、采购项目技术要求</w:t>
      </w:r>
    </w:p>
    <w:p>
      <w:pPr>
        <w:pStyle w:val="6"/>
        <w:adjustRightInd w:val="0"/>
        <w:snapToGrid w:val="0"/>
        <w:spacing w:line="580" w:lineRule="exact"/>
        <w:ind w:firstLine="640" w:firstLineChars="200"/>
        <w:outlineLvl w:val="1"/>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（一）项目概况</w:t>
      </w:r>
    </w:p>
    <w:p>
      <w:pPr>
        <w:pStyle w:val="6"/>
        <w:numPr>
          <w:ilvl w:val="0"/>
          <w:numId w:val="1"/>
        </w:numPr>
        <w:adjustRightInd w:val="0"/>
        <w:snapToGrid w:val="0"/>
        <w:spacing w:line="58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b/>
          <w:sz w:val="30"/>
          <w:szCs w:val="30"/>
        </w:rPr>
        <w:t>惠州市第六人民医院医保质控信息平台系统运维服务</w:t>
      </w:r>
    </w:p>
    <w:p>
      <w:pPr>
        <w:widowControl w:val="0"/>
        <w:numPr>
          <w:ilvl w:val="0"/>
          <w:numId w:val="1"/>
        </w:numPr>
        <w:adjustRightInd/>
        <w:snapToGrid/>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人：惠州市第六人民医院</w:t>
      </w:r>
    </w:p>
    <w:p>
      <w:pPr>
        <w:widowControl w:val="0"/>
        <w:numPr>
          <w:ilvl w:val="0"/>
          <w:numId w:val="1"/>
        </w:numPr>
        <w:adjustRightInd/>
        <w:snapToGrid/>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项目地点：惠州市第六人民医院</w:t>
      </w:r>
    </w:p>
    <w:p>
      <w:pPr>
        <w:spacing w:after="0" w:line="580" w:lineRule="exact"/>
        <w:ind w:firstLine="640" w:firstLineChars="200"/>
        <w:jc w:val="both"/>
        <w:rPr>
          <w:rFonts w:ascii="方正仿宋_GBK" w:hAnsi="方正仿宋_GBK" w:eastAsia="方正仿宋_GBK" w:cs="方正仿宋_GBK"/>
          <w:b/>
          <w:sz w:val="32"/>
          <w:szCs w:val="32"/>
        </w:rPr>
      </w:pPr>
      <w:r>
        <w:rPr>
          <w:rFonts w:hint="eastAsia" w:ascii="方正黑体_GBK" w:hAnsi="方正黑体_GBK" w:eastAsia="方正黑体_GBK" w:cs="方正黑体_GBK"/>
          <w:bCs/>
          <w:kern w:val="2"/>
          <w:sz w:val="32"/>
          <w:szCs w:val="32"/>
        </w:rPr>
        <w:t>（二）采购项目需求一览表</w:t>
      </w:r>
    </w:p>
    <w:tbl>
      <w:tblPr>
        <w:tblStyle w:val="10"/>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43"/>
        <w:gridCol w:w="3333"/>
        <w:gridCol w:w="93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798"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11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855"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1020"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202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11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医保质控信息平台系统运维服务</w:t>
            </w:r>
          </w:p>
        </w:tc>
        <w:tc>
          <w:tcPr>
            <w:tcW w:w="3855"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医保质控信息平台系统运维</w:t>
            </w:r>
          </w:p>
        </w:tc>
        <w:tc>
          <w:tcPr>
            <w:tcW w:w="1020"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3年</w:t>
            </w:r>
          </w:p>
        </w:tc>
        <w:tc>
          <w:tcPr>
            <w:tcW w:w="202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万</w:t>
            </w:r>
          </w:p>
        </w:tc>
      </w:tr>
    </w:tbl>
    <w:p>
      <w:pPr>
        <w:spacing w:after="0" w:line="580" w:lineRule="exact"/>
        <w:jc w:val="both"/>
        <w:rPr>
          <w:rFonts w:ascii="方正仿宋_GBK" w:hAnsi="方正仿宋_GBK" w:eastAsia="方正仿宋_GBK" w:cs="方正仿宋_GBK"/>
          <w:sz w:val="32"/>
          <w:szCs w:val="32"/>
        </w:rPr>
      </w:pPr>
    </w:p>
    <w:p>
      <w:pPr>
        <w:spacing w:after="0" w:line="580" w:lineRule="exact"/>
        <w:jc w:val="both"/>
        <w:rPr>
          <w:rFonts w:ascii="方正仿宋_GBK" w:hAnsi="方正仿宋_GBK" w:eastAsia="方正仿宋_GBK" w:cs="方正仿宋_GBK"/>
          <w:sz w:val="32"/>
          <w:szCs w:val="32"/>
        </w:rPr>
      </w:pPr>
      <w:bookmarkStart w:id="0" w:name="_Toc26817945"/>
    </w:p>
    <w:p>
      <w:pPr>
        <w:numPr>
          <w:ilvl w:val="0"/>
          <w:numId w:val="2"/>
        </w:num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详细技术要求</w:t>
      </w:r>
    </w:p>
    <w:p>
      <w:pPr>
        <w:spacing w:after="0" w:line="580" w:lineRule="exact"/>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1.本次服务费用明细包含以下内容，需进行项目整体报价</w:t>
      </w:r>
    </w:p>
    <w:tbl>
      <w:tblPr>
        <w:tblStyle w:val="10"/>
        <w:tblW w:w="5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01"/>
        <w:gridCol w:w="719"/>
        <w:gridCol w:w="788"/>
        <w:gridCol w:w="2548"/>
        <w:gridCol w:w="1409"/>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84"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1601"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品目名称</w:t>
            </w:r>
          </w:p>
        </w:tc>
        <w:tc>
          <w:tcPr>
            <w:tcW w:w="71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w:t>
            </w:r>
          </w:p>
        </w:tc>
        <w:tc>
          <w:tcPr>
            <w:tcW w:w="788"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2548" w:type="dxa"/>
            <w:vAlign w:val="center"/>
          </w:tcPr>
          <w:p>
            <w:pPr>
              <w:spacing w:after="0" w:line="580" w:lineRule="exact"/>
              <w:jc w:val="both"/>
              <w:rPr>
                <w:rFonts w:ascii="方正仿宋_GBK" w:hAnsi="方正仿宋_GBK" w:eastAsia="方正仿宋_GBK" w:cs="方正仿宋_GBK"/>
                <w:sz w:val="24"/>
                <w:szCs w:val="32"/>
              </w:rPr>
            </w:pPr>
            <w:r>
              <w:rPr>
                <w:rFonts w:hint="eastAsia" w:ascii="方正仿宋_GBK" w:hAnsi="方正仿宋_GBK" w:eastAsia="方正仿宋_GBK" w:cs="方正仿宋_GBK"/>
                <w:sz w:val="32"/>
                <w:szCs w:val="32"/>
              </w:rPr>
              <w:t>参数要求</w:t>
            </w:r>
          </w:p>
        </w:tc>
        <w:tc>
          <w:tcPr>
            <w:tcW w:w="140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单价（元）</w:t>
            </w:r>
          </w:p>
        </w:tc>
        <w:tc>
          <w:tcPr>
            <w:tcW w:w="1454"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4"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1601" w:type="dxa"/>
            <w:vAlign w:val="center"/>
          </w:tcPr>
          <w:p>
            <w:pPr>
              <w:spacing w:line="360" w:lineRule="auto"/>
              <w:jc w:val="center"/>
              <w:rPr>
                <w:rFonts w:ascii="宋体" w:hAnsi="宋体"/>
                <w:color w:val="000000"/>
                <w:sz w:val="24"/>
              </w:rPr>
            </w:pPr>
            <w:r>
              <w:rPr>
                <w:rFonts w:hint="eastAsia" w:ascii="方正仿宋_GBK" w:hAnsi="方正仿宋_GBK" w:eastAsia="方正仿宋_GBK" w:cs="方正仿宋_GBK"/>
                <w:sz w:val="32"/>
                <w:szCs w:val="32"/>
              </w:rPr>
              <w:t>系统运维服务</w:t>
            </w:r>
          </w:p>
        </w:tc>
        <w:tc>
          <w:tcPr>
            <w:tcW w:w="719" w:type="dxa"/>
            <w:vAlign w:val="center"/>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w:t>
            </w:r>
          </w:p>
        </w:tc>
        <w:tc>
          <w:tcPr>
            <w:tcW w:w="788" w:type="dxa"/>
            <w:vAlign w:val="center"/>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548" w:type="dxa"/>
            <w:vAlign w:val="center"/>
          </w:tcPr>
          <w:p>
            <w:pPr>
              <w:spacing w:after="0"/>
              <w:jc w:val="both"/>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1）操作指导：提供系统电子操作说明手册或操作指引</w:t>
            </w:r>
            <w:r>
              <w:rPr>
                <w:rFonts w:hint="eastAsia" w:ascii="宋体" w:hAnsi="宋体" w:eastAsia="宋体" w:cs="宋体"/>
                <w:sz w:val="24"/>
                <w:szCs w:val="32"/>
              </w:rPr>
              <w:t>教程</w:t>
            </w:r>
            <w:r>
              <w:rPr>
                <w:rFonts w:hint="eastAsia" w:ascii="方正仿宋_GBK" w:hAnsi="方正仿宋_GBK" w:eastAsia="方正仿宋_GBK" w:cs="方正仿宋_GBK"/>
                <w:sz w:val="24"/>
                <w:szCs w:val="32"/>
              </w:rPr>
              <w:t>，每半年更新一次；</w:t>
            </w:r>
          </w:p>
          <w:p>
            <w:pPr>
              <w:spacing w:after="0"/>
              <w:jc w:val="both"/>
              <w:rPr>
                <w:rFonts w:ascii="方正仿宋_GBK" w:hAnsi="方正仿宋_GBK" w:eastAsia="方正仿宋_GBK" w:cs="方正仿宋_GBK"/>
                <w:sz w:val="24"/>
                <w:szCs w:val="32"/>
              </w:rPr>
            </w:pPr>
            <w:r>
              <w:rPr>
                <w:rFonts w:ascii="方正仿宋_GBK" w:hAnsi="方正仿宋_GBK" w:eastAsia="方正仿宋_GBK" w:cs="方正仿宋_GBK"/>
                <w:sz w:val="24"/>
                <w:szCs w:val="32"/>
              </w:rPr>
              <w:t>2</w:t>
            </w:r>
            <w:r>
              <w:rPr>
                <w:rFonts w:hint="eastAsia" w:ascii="方正仿宋_GBK" w:hAnsi="方正仿宋_GBK" w:eastAsia="方正仿宋_GBK" w:cs="方正仿宋_GBK"/>
                <w:sz w:val="24"/>
                <w:szCs w:val="32"/>
              </w:rPr>
              <w:t>）巡检服务：每月巡检1次；每季度现场系统运行状况巡检1次。</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3）故障排除：软件应用过程中出现功能故障时，协助查找、排除软件故障，保证系统功能正常运行；</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4）软件更新：对程序BUG、程序错误提供定期的修复补丁包服务，定期优化软件功能和性能；</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5）日常维护：对系统进行修正性维护、适应性维护、完善性维护、预期性维护,</w:t>
            </w:r>
            <w:r>
              <w:rPr>
                <w:rFonts w:ascii="方正仿宋_GBK" w:hAnsi="方正仿宋_GBK" w:eastAsia="方正仿宋_GBK" w:cs="方正仿宋_GBK"/>
                <w:sz w:val="24"/>
                <w:szCs w:val="32"/>
              </w:rPr>
              <w:t>,,,,</w:t>
            </w:r>
            <w:r>
              <w:rPr>
                <w:rFonts w:hint="eastAsia" w:ascii="方正仿宋_GBK" w:hAnsi="方正仿宋_GBK" w:eastAsia="方正仿宋_GBK" w:cs="方正仿宋_GBK"/>
                <w:sz w:val="24"/>
                <w:szCs w:val="32"/>
              </w:rPr>
              <w:t>；</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6）应急服务：出现紧急情况时，启动应急服务，跟进处理相关紧急情况。应急方案根据医院实际情况进行修订；</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7）应用迁移：如需迁移，协助进行应用迁移，提供必要的支持和指导；</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8）应急：出现突发情况协助系统工程师处理问题提交问题处理结果分析报告；</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9）咨询服务：用户在系统操作过程中的咨询、疑问、建议进行解答；</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10）培训：每半年一次。对业务部门人员及主管系统人员、科室医护人员进行系统操作培训、维护培训。</w:t>
            </w:r>
          </w:p>
        </w:tc>
        <w:tc>
          <w:tcPr>
            <w:tcW w:w="1409" w:type="dxa"/>
            <w:vAlign w:val="center"/>
          </w:tcPr>
          <w:p>
            <w:pPr>
              <w:spacing w:after="0" w:line="580" w:lineRule="exact"/>
              <w:jc w:val="both"/>
              <w:rPr>
                <w:rFonts w:ascii="方正仿宋_GBK" w:hAnsi="方正仿宋_GBK" w:eastAsia="方正仿宋_GBK" w:cs="方正仿宋_GBK"/>
                <w:sz w:val="32"/>
                <w:szCs w:val="32"/>
              </w:rPr>
            </w:pPr>
          </w:p>
        </w:tc>
        <w:tc>
          <w:tcPr>
            <w:tcW w:w="1454" w:type="dxa"/>
            <w:vAlign w:val="center"/>
          </w:tcPr>
          <w:p>
            <w:pPr>
              <w:spacing w:after="0" w:line="580" w:lineRule="exact"/>
              <w:jc w:val="both"/>
              <w:rPr>
                <w:rFonts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4"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1601" w:type="dxa"/>
            <w:vAlign w:val="center"/>
          </w:tcPr>
          <w:p>
            <w:pPr>
              <w:spacing w:line="360" w:lineRule="auto"/>
              <w:jc w:val="center"/>
              <w:rPr>
                <w:rFonts w:ascii="宋体" w:hAnsi="宋体"/>
                <w:color w:val="000000"/>
                <w:sz w:val="24"/>
              </w:rPr>
            </w:pPr>
            <w:r>
              <w:rPr>
                <w:rFonts w:hint="eastAsia" w:ascii="方正仿宋_GBK" w:hAnsi="方正仿宋_GBK" w:eastAsia="方正仿宋_GBK" w:cs="方正仿宋_GBK"/>
                <w:sz w:val="32"/>
                <w:szCs w:val="32"/>
              </w:rPr>
              <w:t>网络安全服务</w:t>
            </w:r>
          </w:p>
        </w:tc>
        <w:tc>
          <w:tcPr>
            <w:tcW w:w="719" w:type="dxa"/>
            <w:vAlign w:val="center"/>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w:t>
            </w:r>
          </w:p>
        </w:tc>
        <w:tc>
          <w:tcPr>
            <w:tcW w:w="788" w:type="dxa"/>
            <w:vAlign w:val="center"/>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548" w:type="dxa"/>
            <w:vAlign w:val="center"/>
          </w:tcPr>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1）网络安全等级评审：配合对系统进行网络安全等级评审，对存在问题进行完善修复并达到相关等级；</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2）安全更新：对网络安全漏洞提供修复补丁包服务，优化网络安全性能，在公司推出同版本的新升级程序后，对客户系统进行升级；</w:t>
            </w:r>
          </w:p>
        </w:tc>
        <w:tc>
          <w:tcPr>
            <w:tcW w:w="1409" w:type="dxa"/>
            <w:vAlign w:val="center"/>
          </w:tcPr>
          <w:p>
            <w:pPr>
              <w:spacing w:after="0" w:line="580" w:lineRule="exact"/>
              <w:jc w:val="both"/>
              <w:rPr>
                <w:rFonts w:ascii="方正仿宋_GBK" w:hAnsi="方正仿宋_GBK" w:eastAsia="方正仿宋_GBK" w:cs="方正仿宋_GBK"/>
                <w:sz w:val="32"/>
                <w:szCs w:val="32"/>
              </w:rPr>
            </w:pPr>
          </w:p>
        </w:tc>
        <w:tc>
          <w:tcPr>
            <w:tcW w:w="1454" w:type="dxa"/>
            <w:vAlign w:val="center"/>
          </w:tcPr>
          <w:p>
            <w:pPr>
              <w:spacing w:after="0" w:line="580" w:lineRule="exact"/>
              <w:jc w:val="both"/>
              <w:rPr>
                <w:rFonts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4"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1601" w:type="dxa"/>
            <w:vAlign w:val="center"/>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接口运维服务</w:t>
            </w:r>
          </w:p>
        </w:tc>
        <w:tc>
          <w:tcPr>
            <w:tcW w:w="719" w:type="dxa"/>
            <w:vAlign w:val="center"/>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w:t>
            </w:r>
          </w:p>
        </w:tc>
        <w:tc>
          <w:tcPr>
            <w:tcW w:w="788" w:type="dxa"/>
            <w:vAlign w:val="center"/>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548" w:type="dxa"/>
            <w:vAlign w:val="center"/>
          </w:tcPr>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1）接口远程处理：提供技术支持以保障系统范围现有接口的稳定运行；</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2）提供接口解决方案：对于现有接口运行不畅，提供接口解决方案，并积极配合院方进行调整。</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3）运维期内能够与医院现用医务管理系统做到无缝对接，共用一套组织机构与人员信息。</w:t>
            </w:r>
          </w:p>
        </w:tc>
        <w:tc>
          <w:tcPr>
            <w:tcW w:w="1409" w:type="dxa"/>
            <w:vAlign w:val="center"/>
          </w:tcPr>
          <w:p>
            <w:pPr>
              <w:spacing w:after="0" w:line="580" w:lineRule="exact"/>
              <w:jc w:val="both"/>
              <w:rPr>
                <w:rFonts w:ascii="方正仿宋_GBK" w:hAnsi="方正仿宋_GBK" w:eastAsia="方正仿宋_GBK" w:cs="方正仿宋_GBK"/>
                <w:sz w:val="32"/>
                <w:szCs w:val="32"/>
              </w:rPr>
            </w:pPr>
          </w:p>
        </w:tc>
        <w:tc>
          <w:tcPr>
            <w:tcW w:w="1454" w:type="dxa"/>
            <w:vAlign w:val="center"/>
          </w:tcPr>
          <w:p>
            <w:pPr>
              <w:spacing w:after="0" w:line="580" w:lineRule="exact"/>
              <w:jc w:val="both"/>
              <w:rPr>
                <w:rFonts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4"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1601" w:type="dxa"/>
            <w:vAlign w:val="center"/>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数据库运维服务</w:t>
            </w:r>
          </w:p>
        </w:tc>
        <w:tc>
          <w:tcPr>
            <w:tcW w:w="719" w:type="dxa"/>
            <w:vAlign w:val="center"/>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w:t>
            </w:r>
          </w:p>
        </w:tc>
        <w:tc>
          <w:tcPr>
            <w:tcW w:w="788" w:type="dxa"/>
            <w:vAlign w:val="center"/>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548" w:type="dxa"/>
            <w:vAlign w:val="center"/>
          </w:tcPr>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1）数据库服务器巡检：对现有数据库运行状态进行评估，并反馈评估报告；</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2）问题日志远程处理：对数据库中产生的问题日志，提供远程查看与指导；</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3）数据恢复：协助恢复数据；</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4）数据调整：协助进行数据调整；</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5）数据迁移：如需数据迁移，协助进行数据库迁移，提供必要的支持和指导；</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6）应急服务：系统灾难发生时，立即响应，减少数据损失，降低灾难对整个系统正常运行的影响；</w:t>
            </w:r>
          </w:p>
          <w:p>
            <w:pPr>
              <w:pStyle w:val="15"/>
              <w:ind w:firstLine="0" w:firstLineChars="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7）问题解答：解答系统及数据库疑难问题；</w:t>
            </w:r>
          </w:p>
        </w:tc>
        <w:tc>
          <w:tcPr>
            <w:tcW w:w="1409" w:type="dxa"/>
            <w:vAlign w:val="center"/>
          </w:tcPr>
          <w:p>
            <w:pPr>
              <w:spacing w:after="0" w:line="580" w:lineRule="exact"/>
              <w:jc w:val="both"/>
              <w:rPr>
                <w:rFonts w:ascii="方正仿宋_GBK" w:hAnsi="方正仿宋_GBK" w:eastAsia="方正仿宋_GBK" w:cs="方正仿宋_GBK"/>
                <w:sz w:val="32"/>
                <w:szCs w:val="32"/>
              </w:rPr>
            </w:pPr>
            <w:bookmarkStart w:id="1" w:name="_GoBack"/>
            <w:bookmarkEnd w:id="1"/>
          </w:p>
        </w:tc>
        <w:tc>
          <w:tcPr>
            <w:tcW w:w="1454" w:type="dxa"/>
            <w:vAlign w:val="center"/>
          </w:tcPr>
          <w:p>
            <w:pPr>
              <w:spacing w:after="0" w:line="580" w:lineRule="exact"/>
              <w:jc w:val="both"/>
              <w:rPr>
                <w:rFonts w:ascii="方正仿宋_GBK" w:hAnsi="方正仿宋_GBK" w:eastAsia="方正仿宋_GBK" w:cs="方正仿宋_GBK"/>
                <w:sz w:val="32"/>
                <w:szCs w:val="32"/>
              </w:rPr>
            </w:pPr>
          </w:p>
        </w:tc>
      </w:tr>
    </w:tbl>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2.维保内容构成</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2.1系统运维服务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1）操作指导：提供系统电子操作说明手册或操作指引</w:t>
      </w:r>
      <w:r>
        <w:rPr>
          <w:rFonts w:hint="eastAsia" w:ascii="宋体" w:hAnsi="宋体" w:eastAsia="宋体"/>
          <w:sz w:val="32"/>
          <w:szCs w:val="32"/>
        </w:rPr>
        <w:t>教程</w:t>
      </w:r>
      <w:r>
        <w:rPr>
          <w:rFonts w:hint="eastAsia" w:ascii="方正仿宋_GBK" w:hAnsi="方正仿宋_GBK" w:eastAsia="方正仿宋_GBK" w:cs="方正仿宋_GBK"/>
          <w:sz w:val="32"/>
          <w:szCs w:val="32"/>
        </w:rPr>
        <w:t>，维保期内每半年更新一次；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巡检服务：每月至少对系统运行状况进行巡检1次，方式可以是远程或现场；在每超过3天的国家法定节假日放假之前需远程或现场巡检1次；每季度现场系统运行状况巡检1次。巡检范围从客户端、应用服务器、数据库服务器全方面检查，巡检报告按甲方格式填写并签字，巡检报告要真实有效。每次现场巡检时将之前的纸质巡检报告提交甲方系统主管工程师归档。每半年将零星服务的内容按甲方格式进行汇总并加盖公司公章，生成服务报告；每年度生成年度服务报告。</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3）故障排除：软件应用过程中出现功能故障时，协助查找、排除软件故障，保证系统功能正常运行；</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4）软件更新：对程序BUG、程序错误提供定期的修复补丁包服务，定期优化软件功能和性能，在公司推出同版本的新升级程序后，对客户系统进行升级；</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5）日常维护：维保期对系统进行修正性维护、适应性维护、完善性维护、预期性维护，每次维护均建立维护记录并归档；</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6）应急服务：出现紧急情况时，保证在半小时内启动应急服务，协调安排相关工作人员跟进处理相关紧急情况。维保公司有完整的应急方案，并根据医院实际情况进行修订；</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7）应用迁移：如需应用迁移，协助进行应用迁移，提供必要的支持和指导；</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应急基本流程：出现突发情况→系统主管工程师现场分析原因并处理→如问题未能解决导致系统不能正常使用超过半小时→系统主管工程师评估影响范围→报维保公司技术经理→公司协调工程师协助系统主管工程师处理→问题结束→提交问题处理结果分析报告；</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9）咨询服务：用户在系统操作过程中的咨询、疑问、建议进行解答；</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10）培训：对业务部门人员及主管系统人员、科室医护人员进行系统操作培训、维护培训；公司提供系统运行状况检查方案及脚本并负责培训甲方工程师，每半年升级更新内容。</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2.2网络安全服务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1）网络安全等级评审：配合对系统进行网络安全等级评审，对存在问题进行完善修复并达到相关等级；</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2）安全更新：对网络安全漏洞提供修复补丁包服务，优化网络安全性能，在公司推出同版本的新升级程序后，对客户系统进行升级；</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2.3接口运维服务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1）接口远程处理：提供技术支持以保障系统范围现有接口的稳定运行；</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2）提供接口解决方案：对于现有接口运行不畅，提供接口解决方案，并积极配合院方进行调整。</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3）运维期内能够与医院现用医务管理系统做到无缝对接，共用一套组织机构与人员信息。</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2.4数据库运维服务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1）数据库服务器巡检：提供定期（每季度）到我院与系统主管工程师进行数据库服务器巡检，对现有数据库运行状态进行评估，并反馈评估报告；</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2）问题日志远程处理：对数据库中产生的问题日志，提供远程查看与指导；</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3）数据恢复：协助系统主管工程师恢复数据；</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4）数据调整：协助系统维护人员进行数据调整；</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5）数据迁移：如需数据迁移，协助进行数据库迁移，提供必要的支持和指导；</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6）应急服务：系统灾难发生时，导致系统不能正常使用超过半小时，维保公司需承诺立即响应，减少数据损失，降低灾难对整个系统正常运行的影响；</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7）问题解答：解答系统及数据库疑难问题；</w:t>
      </w:r>
    </w:p>
    <w:p>
      <w:pPr>
        <w:pStyle w:val="15"/>
        <w:spacing w:line="580" w:lineRule="exact"/>
        <w:ind w:firstLine="640"/>
        <w:rPr>
          <w:rFonts w:ascii="方正仿宋_GBK" w:hAnsi="方正仿宋_GBK" w:eastAsia="方正仿宋_GBK" w:cs="方正仿宋_GBK"/>
          <w:sz w:val="32"/>
          <w:szCs w:val="32"/>
        </w:rPr>
      </w:pPr>
    </w:p>
    <w:p>
      <w:p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二、采购项目商务要求</w:t>
      </w:r>
      <w:bookmarkEnd w:id="0"/>
    </w:p>
    <w:p>
      <w:p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（一）报价要求</w:t>
      </w:r>
    </w:p>
    <w:p>
      <w:pPr>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磋商的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磋商总价中已包含该费用。</w:t>
      </w:r>
    </w:p>
    <w:p>
      <w:pPr>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2、各响应供应商须根据本项目的实际情况以及自身的实际情况填报，不得高于最高限价（本项目采购预算），否则作无效标处理。磋商报价保留到小数点后两位数。</w:t>
      </w:r>
    </w:p>
    <w:p>
      <w:pPr>
        <w:spacing w:after="0" w:line="580" w:lineRule="exact"/>
        <w:ind w:firstLine="640" w:firstLineChars="200"/>
        <w:jc w:val="both"/>
        <w:rPr>
          <w:rFonts w:ascii="方正仿宋_GBK" w:hAnsi="方正仿宋_GBK" w:eastAsia="方正仿宋_GBK" w:cs="方正仿宋_GBK"/>
          <w:b/>
          <w:sz w:val="32"/>
          <w:szCs w:val="32"/>
          <w:lang w:val="hr-HR"/>
        </w:rPr>
      </w:pPr>
      <w:r>
        <w:rPr>
          <w:rFonts w:hint="eastAsia" w:ascii="方正黑体_GBK" w:hAnsi="方正黑体_GBK" w:eastAsia="方正黑体_GBK" w:cs="方正黑体_GBK"/>
          <w:bCs/>
          <w:kern w:val="2"/>
          <w:sz w:val="32"/>
          <w:szCs w:val="32"/>
        </w:rPr>
        <w:t>（二）</w:t>
      </w:r>
      <w:r>
        <w:rPr>
          <w:rFonts w:hint="eastAsia" w:ascii="方正黑体_GBK" w:hAnsi="方正黑体_GBK" w:eastAsia="方正黑体_GBK" w:cs="方正黑体_GBK"/>
          <w:bCs/>
          <w:kern w:val="2"/>
          <w:sz w:val="32"/>
          <w:szCs w:val="32"/>
          <w:lang w:val="hr-HR"/>
        </w:rPr>
        <w:t>服务期限</w:t>
      </w:r>
    </w:p>
    <w:p>
      <w:pPr>
        <w:spacing w:after="0" w:line="580" w:lineRule="exact"/>
        <w:ind w:firstLine="480"/>
        <w:jc w:val="both"/>
        <w:rPr>
          <w:rFonts w:ascii="方正仿宋_GBK" w:hAnsi="方正仿宋_GBK" w:eastAsia="方正仿宋_GBK" w:cs="方正仿宋_GBK"/>
          <w:b/>
          <w:sz w:val="32"/>
          <w:szCs w:val="32"/>
          <w:lang w:val="hr-HR"/>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3</w:t>
      </w:r>
      <w:r>
        <w:rPr>
          <w:rFonts w:hint="eastAsia" w:ascii="方正仿宋_GBK" w:hAnsi="方正仿宋_GBK" w:eastAsia="方正仿宋_GBK" w:cs="方正仿宋_GBK"/>
          <w:sz w:val="32"/>
          <w:szCs w:val="32"/>
          <w:u w:val="single"/>
        </w:rPr>
        <w:t xml:space="preserve">年 </w:t>
      </w:r>
      <w:r>
        <w:rPr>
          <w:rFonts w:hint="eastAsia" w:ascii="方正仿宋_GBK" w:hAnsi="方正仿宋_GBK" w:eastAsia="方正仿宋_GBK" w:cs="方正仿宋_GBK"/>
          <w:sz w:val="32"/>
          <w:szCs w:val="32"/>
        </w:rPr>
        <w:t>，自合同签订之日起开始计算服务期限。</w:t>
      </w:r>
    </w:p>
    <w:p>
      <w:pPr>
        <w:numPr>
          <w:ilvl w:val="0"/>
          <w:numId w:val="2"/>
        </w:num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服务地点：惠州市第六人民医院</w:t>
      </w:r>
    </w:p>
    <w:p>
      <w:pPr>
        <w:numPr>
          <w:ilvl w:val="0"/>
          <w:numId w:val="2"/>
        </w:numPr>
        <w:spacing w:after="0" w:line="58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bCs/>
          <w:kern w:val="2"/>
          <w:sz w:val="32"/>
          <w:szCs w:val="32"/>
        </w:rPr>
        <w:t>结算方式：</w:t>
      </w:r>
    </w:p>
    <w:p>
      <w:pPr>
        <w:spacing w:after="0" w:line="580" w:lineRule="exact"/>
        <w:ind w:firstLine="640" w:firstLineChars="200"/>
        <w:jc w:val="both"/>
        <w:rPr>
          <w:rFonts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按成交供应商的磋商报价作为合同价，以合同价进行总价包干。</w:t>
      </w:r>
    </w:p>
    <w:p>
      <w:pPr>
        <w:spacing w:after="0" w:line="580" w:lineRule="exact"/>
        <w:ind w:firstLine="640" w:firstLineChars="200"/>
        <w:jc w:val="both"/>
        <w:rPr>
          <w:rFonts w:ascii="方正仿宋_GBK" w:hAnsi="方正仿宋_GBK" w:eastAsia="方正仿宋_GBK" w:cs="方正仿宋_GBK"/>
          <w:b/>
          <w:sz w:val="32"/>
          <w:szCs w:val="32"/>
        </w:rPr>
      </w:pPr>
      <w:r>
        <w:rPr>
          <w:rFonts w:hint="eastAsia" w:ascii="方正黑体_GBK" w:hAnsi="方正黑体_GBK" w:eastAsia="方正黑体_GBK" w:cs="方正黑体_GBK"/>
          <w:bCs/>
          <w:kern w:val="2"/>
          <w:sz w:val="32"/>
          <w:szCs w:val="32"/>
        </w:rPr>
        <w:t>（六）付款方式：</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（1）服务费用</w:t>
      </w:r>
      <w:r>
        <w:rPr>
          <w:rFonts w:hint="eastAsia" w:ascii="方正仿宋_GBK" w:hAnsi="方正仿宋_GBK" w:eastAsia="方正仿宋_GBK" w:cs="方正仿宋_GBK"/>
          <w:sz w:val="32"/>
          <w:szCs w:val="32"/>
          <w:lang w:eastAsia="zh-CN"/>
        </w:rPr>
        <w:t>按每年预算执行，</w:t>
      </w:r>
      <w:r>
        <w:rPr>
          <w:rFonts w:hint="eastAsia" w:ascii="方正仿宋_GBK" w:hAnsi="方正仿宋_GBK" w:eastAsia="方正仿宋_GBK" w:cs="方正仿宋_GBK"/>
          <w:sz w:val="32"/>
          <w:szCs w:val="32"/>
        </w:rPr>
        <w:t>分期支付，合同签订后</w:t>
      </w:r>
      <w:r>
        <w:rPr>
          <w:rFonts w:hint="eastAsia" w:ascii="方正仿宋_GBK" w:hAnsi="方正仿宋_GBK" w:eastAsia="方正仿宋_GBK" w:cs="方正仿宋_GBK"/>
          <w:sz w:val="32"/>
          <w:szCs w:val="32"/>
          <w:lang w:eastAsia="zh-CN"/>
        </w:rPr>
        <w:t>乙方开始执行，至当年一半时，</w:t>
      </w:r>
      <w:r>
        <w:rPr>
          <w:rFonts w:hint="eastAsia" w:ascii="方正仿宋_GBK" w:hAnsi="方正仿宋_GBK" w:eastAsia="方正仿宋_GBK" w:cs="方正仿宋_GBK"/>
          <w:sz w:val="32"/>
          <w:szCs w:val="32"/>
        </w:rPr>
        <w:t>支付</w:t>
      </w:r>
      <w:r>
        <w:rPr>
          <w:rFonts w:hint="eastAsia" w:ascii="方正仿宋_GBK" w:hAnsi="方正仿宋_GBK" w:eastAsia="方正仿宋_GBK" w:cs="方正仿宋_GBK"/>
          <w:sz w:val="32"/>
          <w:szCs w:val="32"/>
          <w:lang w:eastAsia="zh-CN"/>
        </w:rPr>
        <w:t>当年预算</w:t>
      </w:r>
      <w:r>
        <w:rPr>
          <w:rFonts w:hint="eastAsia" w:ascii="方正仿宋_GBK" w:hAnsi="方正仿宋_GBK" w:eastAsia="方正仿宋_GBK" w:cs="方正仿宋_GBK"/>
          <w:sz w:val="32"/>
          <w:szCs w:val="32"/>
        </w:rPr>
        <w:t>的</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0%，在供应商提供发票</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个工作日内完成支付。</w:t>
      </w:r>
      <w:r>
        <w:rPr>
          <w:rFonts w:hint="eastAsia" w:ascii="方正仿宋_GBK" w:hAnsi="方正仿宋_GBK" w:eastAsia="方正仿宋_GBK" w:cs="方正仿宋_GBK"/>
          <w:sz w:val="32"/>
          <w:szCs w:val="32"/>
          <w:lang w:eastAsia="zh-CN"/>
        </w:rPr>
        <w:t>当年</w:t>
      </w:r>
      <w:r>
        <w:rPr>
          <w:rFonts w:hint="eastAsia" w:ascii="方正仿宋_GBK" w:hAnsi="方正仿宋_GBK" w:eastAsia="方正仿宋_GBK" w:cs="方正仿宋_GBK"/>
          <w:sz w:val="32"/>
          <w:szCs w:val="32"/>
          <w:lang w:val="en-US" w:eastAsia="zh-CN"/>
        </w:rPr>
        <w:t>维护期结束时，使用科室验收后，支付合同金额的50%，在供应商提供发票30个工作日内完成支付。合同第二年第三年按此执行。</w:t>
      </w:r>
    </w:p>
    <w:p>
      <w:pPr>
        <w:autoSpaceDE w:val="0"/>
        <w:autoSpaceDN w:val="0"/>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（2）采购人不承担因财政资金不能及时到位给成交供应商造成的任何损失。</w:t>
      </w:r>
    </w:p>
    <w:p>
      <w:pPr>
        <w:spacing w:line="580" w:lineRule="exact"/>
        <w:jc w:val="both"/>
        <w:rPr>
          <w:rFonts w:ascii="方正仿宋_GBK" w:hAnsi="方正仿宋_GBK" w:eastAsia="方正仿宋_GBK" w:cs="方正仿宋_GBK"/>
          <w:b/>
          <w:bCs/>
          <w:sz w:val="32"/>
          <w:szCs w:val="32"/>
        </w:rPr>
      </w:pPr>
    </w:p>
    <w:p>
      <w:pPr>
        <w:autoSpaceDE w:val="0"/>
        <w:autoSpaceDN w:val="0"/>
        <w:spacing w:after="0" w:line="580" w:lineRule="exact"/>
        <w:ind w:right="32"/>
        <w:jc w:val="both"/>
        <w:rPr>
          <w:rFonts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FDBB628-1CA2-4579-AE94-E458A53D3A77}"/>
  </w:font>
  <w:font w:name="微软雅黑">
    <w:panose1 w:val="020B0503020204020204"/>
    <w:charset w:val="86"/>
    <w:family w:val="swiss"/>
    <w:pitch w:val="default"/>
    <w:sig w:usb0="80000287" w:usb1="2ACF3C50" w:usb2="00000016" w:usb3="00000000" w:csb0="0004001F" w:csb1="00000000"/>
    <w:embedRegular r:id="rId2" w:fontKey="{2E1EE8AA-A447-4BEB-8A35-0F4844D42F95}"/>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FD699D37-CB89-45C8-A112-3931D325B9F0}"/>
  </w:font>
  <w:font w:name="方正黑体_GBK">
    <w:panose1 w:val="02000000000000000000"/>
    <w:charset w:val="86"/>
    <w:family w:val="auto"/>
    <w:pitch w:val="default"/>
    <w:sig w:usb0="A00002BF" w:usb1="38CF7CFA" w:usb2="00082016" w:usb3="00000000" w:csb0="00040001" w:csb1="00000000"/>
    <w:embedRegular r:id="rId4" w:fontKey="{FD183204-3B7C-4022-8D4B-2DD9A15BF303}"/>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510C0"/>
    <w:multiLevelType w:val="singleLevel"/>
    <w:tmpl w:val="E8D510C0"/>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4368B"/>
    <w:rsid w:val="000D1436"/>
    <w:rsid w:val="000E1358"/>
    <w:rsid w:val="001725BF"/>
    <w:rsid w:val="001D6E96"/>
    <w:rsid w:val="0026536D"/>
    <w:rsid w:val="00323B43"/>
    <w:rsid w:val="003D37D8"/>
    <w:rsid w:val="00417519"/>
    <w:rsid w:val="00426133"/>
    <w:rsid w:val="004358AB"/>
    <w:rsid w:val="0045783B"/>
    <w:rsid w:val="004D44FE"/>
    <w:rsid w:val="005148C1"/>
    <w:rsid w:val="00594D1E"/>
    <w:rsid w:val="005A05FC"/>
    <w:rsid w:val="005D794E"/>
    <w:rsid w:val="005F247F"/>
    <w:rsid w:val="006345C8"/>
    <w:rsid w:val="006362E9"/>
    <w:rsid w:val="006550EA"/>
    <w:rsid w:val="006A4117"/>
    <w:rsid w:val="00734E54"/>
    <w:rsid w:val="00765281"/>
    <w:rsid w:val="007726E5"/>
    <w:rsid w:val="00794475"/>
    <w:rsid w:val="007C04BD"/>
    <w:rsid w:val="008108E5"/>
    <w:rsid w:val="0084009F"/>
    <w:rsid w:val="008570AD"/>
    <w:rsid w:val="00895D57"/>
    <w:rsid w:val="008B7726"/>
    <w:rsid w:val="0091069E"/>
    <w:rsid w:val="00922117"/>
    <w:rsid w:val="00922DD4"/>
    <w:rsid w:val="00960939"/>
    <w:rsid w:val="009B7F58"/>
    <w:rsid w:val="00A565DC"/>
    <w:rsid w:val="00A806A5"/>
    <w:rsid w:val="00AB1C5E"/>
    <w:rsid w:val="00B735C0"/>
    <w:rsid w:val="00BA0FAE"/>
    <w:rsid w:val="00BC539E"/>
    <w:rsid w:val="00BE03E8"/>
    <w:rsid w:val="00C411AA"/>
    <w:rsid w:val="00C75400"/>
    <w:rsid w:val="00CA4D13"/>
    <w:rsid w:val="00D24C6B"/>
    <w:rsid w:val="00D31D50"/>
    <w:rsid w:val="00D46368"/>
    <w:rsid w:val="00D90927"/>
    <w:rsid w:val="00DF66C9"/>
    <w:rsid w:val="00E667EB"/>
    <w:rsid w:val="00F05BD4"/>
    <w:rsid w:val="00F1239F"/>
    <w:rsid w:val="00F403A0"/>
    <w:rsid w:val="00F4443C"/>
    <w:rsid w:val="047201BE"/>
    <w:rsid w:val="187F5606"/>
    <w:rsid w:val="27066221"/>
    <w:rsid w:val="2E5F704E"/>
    <w:rsid w:val="492A23F4"/>
    <w:rsid w:val="504230DC"/>
    <w:rsid w:val="5D0A2E0A"/>
    <w:rsid w:val="6E946A7C"/>
    <w:rsid w:val="701E3B51"/>
    <w:rsid w:val="7AE363CF"/>
    <w:rsid w:val="7D055042"/>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20"/>
    <w:autoRedefine/>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autoRedefine/>
    <w:semiHidden/>
    <w:unhideWhenUsed/>
    <w:qFormat/>
    <w:uiPriority w:val="35"/>
    <w:rPr>
      <w:rFonts w:eastAsia="黑体" w:asciiTheme="majorHAnsi" w:hAnsiTheme="majorHAnsi" w:cstheme="majorBidi"/>
      <w:sz w:val="20"/>
      <w:szCs w:val="20"/>
    </w:rPr>
  </w:style>
  <w:style w:type="paragraph" w:styleId="4">
    <w:name w:val="Document Map"/>
    <w:basedOn w:val="1"/>
    <w:link w:val="19"/>
    <w:autoRedefine/>
    <w:semiHidden/>
    <w:unhideWhenUsed/>
    <w:qFormat/>
    <w:uiPriority w:val="99"/>
    <w:rPr>
      <w:rFonts w:ascii="宋体" w:eastAsia="宋体"/>
      <w:sz w:val="18"/>
      <w:szCs w:val="18"/>
    </w:rPr>
  </w:style>
  <w:style w:type="paragraph" w:styleId="5">
    <w:name w:val="Body Text"/>
    <w:basedOn w:val="1"/>
    <w:link w:val="18"/>
    <w:autoRedefine/>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autoRedefine/>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autoRedefine/>
    <w:semiHidden/>
    <w:unhideWhenUsed/>
    <w:qFormat/>
    <w:uiPriority w:val="99"/>
    <w:pPr>
      <w:spacing w:after="0"/>
    </w:pPr>
    <w:rPr>
      <w:sz w:val="18"/>
      <w:szCs w:val="18"/>
    </w:rPr>
  </w:style>
  <w:style w:type="paragraph" w:styleId="8">
    <w:name w:val="footer"/>
    <w:basedOn w:val="1"/>
    <w:link w:val="13"/>
    <w:autoRedefine/>
    <w:semiHidden/>
    <w:unhideWhenUsed/>
    <w:qFormat/>
    <w:uiPriority w:val="99"/>
    <w:pPr>
      <w:tabs>
        <w:tab w:val="center" w:pos="4153"/>
        <w:tab w:val="right" w:pos="8306"/>
      </w:tabs>
    </w:pPr>
    <w:rPr>
      <w:sz w:val="18"/>
      <w:szCs w:val="18"/>
    </w:rPr>
  </w:style>
  <w:style w:type="paragraph" w:styleId="9">
    <w:name w:val="header"/>
    <w:basedOn w:val="1"/>
    <w:link w:val="12"/>
    <w:autoRedefine/>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字符"/>
    <w:basedOn w:val="11"/>
    <w:link w:val="9"/>
    <w:autoRedefine/>
    <w:semiHidden/>
    <w:qFormat/>
    <w:uiPriority w:val="99"/>
    <w:rPr>
      <w:rFonts w:ascii="Tahoma" w:hAnsi="Tahoma"/>
      <w:sz w:val="18"/>
      <w:szCs w:val="18"/>
    </w:rPr>
  </w:style>
  <w:style w:type="character" w:customStyle="1" w:styleId="13">
    <w:name w:val="页脚 字符"/>
    <w:basedOn w:val="11"/>
    <w:link w:val="8"/>
    <w:autoRedefine/>
    <w:semiHidden/>
    <w:qFormat/>
    <w:uiPriority w:val="99"/>
    <w:rPr>
      <w:rFonts w:ascii="Tahoma" w:hAnsi="Tahoma"/>
      <w:sz w:val="18"/>
      <w:szCs w:val="18"/>
    </w:rPr>
  </w:style>
  <w:style w:type="character" w:customStyle="1" w:styleId="14">
    <w:name w:val="z正文 Char Char"/>
    <w:link w:val="15"/>
    <w:autoRedefine/>
    <w:qFormat/>
    <w:uiPriority w:val="0"/>
    <w:rPr>
      <w:rFonts w:eastAsia="仿宋_GB2312" w:cs="宋体"/>
      <w:kern w:val="2"/>
      <w:sz w:val="28"/>
    </w:rPr>
  </w:style>
  <w:style w:type="paragraph" w:customStyle="1" w:styleId="15">
    <w:name w:val="z正文"/>
    <w:basedOn w:val="1"/>
    <w:link w:val="14"/>
    <w:autoRedefine/>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字符1"/>
    <w:link w:val="6"/>
    <w:autoRedefine/>
    <w:qFormat/>
    <w:uiPriority w:val="0"/>
    <w:rPr>
      <w:rFonts w:ascii="宋体" w:eastAsia="宋体" w:cs="Courier New"/>
      <w:kern w:val="2"/>
      <w:sz w:val="21"/>
      <w:szCs w:val="21"/>
    </w:rPr>
  </w:style>
  <w:style w:type="character" w:customStyle="1" w:styleId="17">
    <w:name w:val="纯文本 Char1"/>
    <w:basedOn w:val="11"/>
    <w:autoRedefine/>
    <w:semiHidden/>
    <w:qFormat/>
    <w:uiPriority w:val="99"/>
    <w:rPr>
      <w:rFonts w:ascii="宋体" w:hAnsi="Courier New" w:eastAsia="宋体" w:cs="Courier New"/>
      <w:sz w:val="21"/>
      <w:szCs w:val="21"/>
    </w:rPr>
  </w:style>
  <w:style w:type="character" w:customStyle="1" w:styleId="18">
    <w:name w:val="正文文本 字符"/>
    <w:basedOn w:val="11"/>
    <w:link w:val="5"/>
    <w:autoRedefine/>
    <w:qFormat/>
    <w:uiPriority w:val="0"/>
    <w:rPr>
      <w:rFonts w:ascii="宋体" w:hAnsi="宋体" w:eastAsia="宋体" w:cs="宋体"/>
      <w:sz w:val="24"/>
      <w:szCs w:val="24"/>
      <w:lang w:val="zh-CN" w:bidi="zh-CN"/>
    </w:rPr>
  </w:style>
  <w:style w:type="character" w:customStyle="1" w:styleId="19">
    <w:name w:val="文档结构图 字符"/>
    <w:basedOn w:val="11"/>
    <w:link w:val="4"/>
    <w:autoRedefine/>
    <w:semiHidden/>
    <w:qFormat/>
    <w:uiPriority w:val="99"/>
    <w:rPr>
      <w:rFonts w:ascii="宋体" w:hAnsi="Tahoma" w:eastAsia="宋体"/>
      <w:sz w:val="18"/>
      <w:szCs w:val="18"/>
    </w:rPr>
  </w:style>
  <w:style w:type="character" w:customStyle="1" w:styleId="20">
    <w:name w:val="正文缩进 字符"/>
    <w:link w:val="2"/>
    <w:autoRedefine/>
    <w:qFormat/>
    <w:uiPriority w:val="0"/>
    <w:rPr>
      <w:rFonts w:eastAsia="宋体"/>
      <w:kern w:val="2"/>
      <w:sz w:val="21"/>
      <w:szCs w:val="24"/>
    </w:rPr>
  </w:style>
  <w:style w:type="paragraph" w:customStyle="1" w:styleId="21">
    <w:name w:val="表头"/>
    <w:basedOn w:val="3"/>
    <w:autoRedefine/>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autoRedefine/>
    <w:qFormat/>
    <w:uiPriority w:val="99"/>
    <w:rPr>
      <w:rFonts w:ascii="宋体" w:hAnsi="Courier New"/>
      <w:kern w:val="2"/>
      <w:sz w:val="24"/>
    </w:rPr>
  </w:style>
  <w:style w:type="character" w:customStyle="1" w:styleId="23">
    <w:name w:val="批注框文本 字符"/>
    <w:basedOn w:val="11"/>
    <w:link w:val="7"/>
    <w:autoRedefine/>
    <w:semiHidden/>
    <w:qFormat/>
    <w:uiPriority w:val="99"/>
    <w:rPr>
      <w:rFonts w:ascii="Tahoma" w:hAnsi="Tahoma"/>
      <w:sz w:val="18"/>
      <w:szCs w:val="18"/>
    </w:rPr>
  </w:style>
  <w:style w:type="paragraph" w:customStyle="1" w:styleId="24">
    <w:name w:val="修订1"/>
    <w:autoRedefine/>
    <w:hidden/>
    <w:semiHidden/>
    <w:qFormat/>
    <w:uiPriority w:val="99"/>
    <w:rPr>
      <w:rFonts w:ascii="Tahoma" w:hAnsi="Tahoma" w:eastAsia="微软雅黑" w:cstheme="minorBidi"/>
      <w:sz w:val="22"/>
      <w:szCs w:val="22"/>
      <w:lang w:val="en-US" w:eastAsia="zh-CN" w:bidi="ar-SA"/>
    </w:rPr>
  </w:style>
  <w:style w:type="paragraph" w:styleId="2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456</Words>
  <Characters>2604</Characters>
  <Lines>21</Lines>
  <Paragraphs>6</Paragraphs>
  <TotalTime>0</TotalTime>
  <ScaleCrop>false</ScaleCrop>
  <LinksUpToDate>false</LinksUpToDate>
  <CharactersWithSpaces>3054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2024-01-03T09:08:24Z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193219FFB2214708BEA6EA935E550C75_13</vt:lpwstr>
  </property>
</Properties>
</file>